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7A7" w:rsidRDefault="00DD37A7" w:rsidP="00DD37A7">
      <w:pPr>
        <w:pBdr>
          <w:bottom w:val="single" w:sz="4" w:space="1" w:color="000000"/>
        </w:pBdr>
        <w:spacing w:after="0" w:line="360" w:lineRule="auto"/>
        <w:jc w:val="center"/>
        <w:rPr>
          <w:rFonts w:ascii="Times New Roman" w:eastAsia="Times New Roman" w:hAnsi="Times New Roman" w:cs="Times New Roman"/>
          <w:b/>
          <w:bCs/>
          <w:color w:val="000000"/>
          <w:sz w:val="32"/>
          <w:szCs w:val="32"/>
          <w:lang w:eastAsia="sk-SK"/>
        </w:rPr>
      </w:pPr>
      <w:r>
        <w:rPr>
          <w:rFonts w:ascii="Times New Roman" w:eastAsia="Times New Roman" w:hAnsi="Times New Roman" w:cs="Times New Roman"/>
          <w:b/>
          <w:bCs/>
          <w:color w:val="000000"/>
          <w:sz w:val="32"/>
          <w:szCs w:val="32"/>
          <w:lang w:eastAsia="sk-SK"/>
        </w:rPr>
        <w:t xml:space="preserve">Mapovanie činností súvisiacich </w:t>
      </w:r>
      <w:r w:rsidRPr="0008272F">
        <w:rPr>
          <w:rFonts w:ascii="Times New Roman" w:eastAsia="Times New Roman" w:hAnsi="Times New Roman" w:cs="Times New Roman"/>
          <w:b/>
          <w:bCs/>
          <w:color w:val="000000"/>
          <w:sz w:val="32"/>
          <w:szCs w:val="32"/>
          <w:lang w:eastAsia="sk-SK"/>
        </w:rPr>
        <w:t> </w:t>
      </w:r>
      <w:r w:rsidRPr="0008272F">
        <w:rPr>
          <w:rFonts w:ascii="Times New Roman" w:eastAsia="Times New Roman" w:hAnsi="Times New Roman" w:cs="Times New Roman"/>
          <w:color w:val="000000"/>
          <w:sz w:val="32"/>
          <w:szCs w:val="32"/>
          <w:lang w:eastAsia="sk-SK"/>
        </w:rPr>
        <w:br/>
      </w:r>
      <w:r>
        <w:rPr>
          <w:rFonts w:ascii="Times New Roman" w:eastAsia="Times New Roman" w:hAnsi="Times New Roman" w:cs="Times New Roman"/>
          <w:b/>
          <w:bCs/>
          <w:color w:val="000000"/>
          <w:sz w:val="32"/>
          <w:szCs w:val="32"/>
          <w:lang w:eastAsia="sk-SK"/>
        </w:rPr>
        <w:t>s podporou</w:t>
      </w:r>
      <w:r w:rsidRPr="0008272F">
        <w:rPr>
          <w:rFonts w:ascii="Times New Roman" w:eastAsia="Times New Roman" w:hAnsi="Times New Roman" w:cs="Times New Roman"/>
          <w:b/>
          <w:bCs/>
          <w:color w:val="000000"/>
          <w:sz w:val="32"/>
          <w:szCs w:val="32"/>
          <w:lang w:eastAsia="sk-SK"/>
        </w:rPr>
        <w:t xml:space="preserve"> finančnej gramotnosti</w:t>
      </w:r>
      <w:r>
        <w:rPr>
          <w:rFonts w:ascii="Times New Roman" w:eastAsia="Times New Roman" w:hAnsi="Times New Roman" w:cs="Times New Roman"/>
          <w:b/>
          <w:bCs/>
          <w:color w:val="000000"/>
          <w:sz w:val="32"/>
          <w:szCs w:val="32"/>
          <w:lang w:eastAsia="sk-SK"/>
        </w:rPr>
        <w:t xml:space="preserve"> a sieťovanie v oblasti FG</w:t>
      </w:r>
    </w:p>
    <w:p w:rsidR="008D1275" w:rsidRPr="0008272F" w:rsidRDefault="008D1275" w:rsidP="00DD37A7">
      <w:pPr>
        <w:pBdr>
          <w:bottom w:val="single" w:sz="4" w:space="1" w:color="000000"/>
        </w:pBdr>
        <w:spacing w:after="0" w:line="360" w:lineRule="auto"/>
        <w:jc w:val="center"/>
        <w:rPr>
          <w:rFonts w:ascii="Times New Roman" w:eastAsia="Times New Roman" w:hAnsi="Times New Roman" w:cs="Times New Roman"/>
          <w:color w:val="000000"/>
          <w:sz w:val="32"/>
          <w:szCs w:val="32"/>
          <w:lang w:eastAsia="sk-SK"/>
        </w:rPr>
      </w:pPr>
      <w:r>
        <w:rPr>
          <w:rFonts w:ascii="Times New Roman" w:eastAsia="Times New Roman" w:hAnsi="Times New Roman" w:cs="Times New Roman"/>
          <w:b/>
          <w:bCs/>
          <w:color w:val="000000"/>
          <w:sz w:val="32"/>
          <w:szCs w:val="32"/>
          <w:lang w:eastAsia="sk-SK"/>
        </w:rPr>
        <w:t>2016 - 20</w:t>
      </w:r>
      <w:r w:rsidR="00B33962">
        <w:rPr>
          <w:rFonts w:ascii="Times New Roman" w:eastAsia="Times New Roman" w:hAnsi="Times New Roman" w:cs="Times New Roman"/>
          <w:b/>
          <w:bCs/>
          <w:color w:val="000000"/>
          <w:sz w:val="32"/>
          <w:szCs w:val="32"/>
          <w:lang w:eastAsia="sk-SK"/>
        </w:rPr>
        <w:t>21</w:t>
      </w:r>
    </w:p>
    <w:p w:rsidR="00E841C4" w:rsidRDefault="00DD37A7" w:rsidP="00DD37A7">
      <w:pPr>
        <w:jc w:val="center"/>
      </w:pPr>
      <w:r>
        <w:t>Komentované koláčové grafy</w:t>
      </w:r>
    </w:p>
    <w:p w:rsidR="00DD37A7" w:rsidRDefault="00DD37A7" w:rsidP="00DD37A7">
      <w:pPr>
        <w:jc w:val="center"/>
      </w:pPr>
    </w:p>
    <w:p w:rsidR="00BC225E" w:rsidRDefault="00DD37A7" w:rsidP="00DD37A7">
      <w:pPr>
        <w:spacing w:after="120" w:line="360" w:lineRule="auto"/>
        <w:jc w:val="both"/>
        <w:rPr>
          <w:rFonts w:ascii="Times New Roman" w:eastAsia="Times New Roman" w:hAnsi="Times New Roman" w:cs="Times New Roman"/>
          <w:color w:val="000000"/>
          <w:sz w:val="24"/>
          <w:szCs w:val="24"/>
          <w:lang w:eastAsia="sk-SK"/>
        </w:rPr>
      </w:pPr>
      <w:r w:rsidRPr="009B3258">
        <w:rPr>
          <w:rFonts w:ascii="Times New Roman" w:eastAsia="Times New Roman" w:hAnsi="Times New Roman" w:cs="Times New Roman"/>
          <w:color w:val="000000"/>
          <w:sz w:val="24"/>
          <w:szCs w:val="24"/>
          <w:lang w:eastAsia="sk-SK"/>
        </w:rPr>
        <w:t>Výstupom „</w:t>
      </w:r>
      <w:r w:rsidRPr="009B3258">
        <w:rPr>
          <w:rFonts w:ascii="Times New Roman" w:eastAsia="Times New Roman" w:hAnsi="Times New Roman" w:cs="Times New Roman"/>
          <w:i/>
          <w:iCs/>
          <w:color w:val="000000"/>
          <w:sz w:val="24"/>
          <w:szCs w:val="24"/>
          <w:lang w:eastAsia="sk-SK"/>
        </w:rPr>
        <w:t>Návrh</w:t>
      </w:r>
      <w:r>
        <w:rPr>
          <w:rFonts w:ascii="Times New Roman" w:eastAsia="Times New Roman" w:hAnsi="Times New Roman" w:cs="Times New Roman"/>
          <w:i/>
          <w:iCs/>
          <w:color w:val="000000"/>
          <w:sz w:val="24"/>
          <w:szCs w:val="24"/>
          <w:lang w:eastAsia="sk-SK"/>
        </w:rPr>
        <w:t>u</w:t>
      </w:r>
      <w:r w:rsidRPr="009B3258">
        <w:rPr>
          <w:rFonts w:ascii="Times New Roman" w:eastAsia="Times New Roman" w:hAnsi="Times New Roman" w:cs="Times New Roman"/>
          <w:i/>
          <w:iCs/>
          <w:color w:val="000000"/>
          <w:sz w:val="24"/>
          <w:szCs w:val="24"/>
          <w:lang w:eastAsia="sk-SK"/>
        </w:rPr>
        <w:t xml:space="preserve"> stratégie vzdelávania vo finančnej oblasti a manažmentu osobných financií</w:t>
      </w:r>
      <w:r w:rsidR="008D1275">
        <w:rPr>
          <w:rFonts w:ascii="Times New Roman" w:eastAsia="Times New Roman" w:hAnsi="Times New Roman" w:cs="Times New Roman"/>
          <w:i/>
          <w:iCs/>
          <w:color w:val="000000"/>
          <w:sz w:val="24"/>
          <w:szCs w:val="24"/>
          <w:lang w:eastAsia="sk-SK"/>
        </w:rPr>
        <w:t>,“</w:t>
      </w:r>
      <w:r w:rsidRPr="009B3258">
        <w:rPr>
          <w:rFonts w:ascii="Times New Roman" w:eastAsia="Times New Roman" w:hAnsi="Times New Roman" w:cs="Times New Roman"/>
          <w:i/>
          <w:iCs/>
          <w:color w:val="000000"/>
          <w:sz w:val="24"/>
          <w:szCs w:val="24"/>
          <w:lang w:eastAsia="sk-SK"/>
        </w:rPr>
        <w:t xml:space="preserve"> ktorý sa stal</w:t>
      </w:r>
      <w:r w:rsidRPr="009B3258">
        <w:rPr>
          <w:rFonts w:ascii="Times New Roman" w:eastAsia="Times New Roman" w:hAnsi="Times New Roman" w:cs="Times New Roman"/>
          <w:color w:val="000000"/>
          <w:sz w:val="24"/>
          <w:szCs w:val="24"/>
          <w:lang w:eastAsia="sk-SK"/>
        </w:rPr>
        <w:t xml:space="preserve"> dôležitou súčasťou vzdelávacieho procesu na základe uznesenia vlády Slovenskej republiky č. 447 z 2. júla 2008</w:t>
      </w:r>
      <w:r>
        <w:rPr>
          <w:rFonts w:ascii="Times New Roman" w:eastAsia="Times New Roman" w:hAnsi="Times New Roman" w:cs="Times New Roman"/>
          <w:color w:val="000000"/>
          <w:sz w:val="24"/>
          <w:szCs w:val="24"/>
          <w:lang w:eastAsia="sk-SK"/>
        </w:rPr>
        <w:t xml:space="preserve"> </w:t>
      </w:r>
      <w:r w:rsidRPr="009B3258">
        <w:rPr>
          <w:rFonts w:ascii="Times New Roman" w:eastAsia="Times New Roman" w:hAnsi="Times New Roman" w:cs="Times New Roman"/>
          <w:color w:val="000000"/>
          <w:sz w:val="24"/>
          <w:szCs w:val="24"/>
          <w:lang w:eastAsia="sk-SK"/>
        </w:rPr>
        <w:t>bol Národný štandard finančnej gra</w:t>
      </w:r>
      <w:r w:rsidR="008D1275">
        <w:rPr>
          <w:rFonts w:ascii="Times New Roman" w:eastAsia="Times New Roman" w:hAnsi="Times New Roman" w:cs="Times New Roman"/>
          <w:color w:val="000000"/>
          <w:sz w:val="24"/>
          <w:szCs w:val="24"/>
          <w:lang w:eastAsia="sk-SK"/>
        </w:rPr>
        <w:t xml:space="preserve">motnosti verzia 1.0 </w:t>
      </w:r>
      <w:r w:rsidR="00BC225E">
        <w:rPr>
          <w:rFonts w:ascii="Times New Roman" w:eastAsia="Times New Roman" w:hAnsi="Times New Roman" w:cs="Times New Roman"/>
          <w:color w:val="000000"/>
          <w:sz w:val="24"/>
          <w:szCs w:val="24"/>
          <w:lang w:eastAsia="sk-SK"/>
        </w:rPr>
        <w:t xml:space="preserve">vypracovaný v roku 2008. </w:t>
      </w:r>
      <w:r w:rsidR="0009411B">
        <w:rPr>
          <w:rFonts w:ascii="Times New Roman" w:eastAsia="Times New Roman" w:hAnsi="Times New Roman" w:cs="Times New Roman"/>
          <w:color w:val="000000"/>
          <w:sz w:val="24"/>
          <w:szCs w:val="24"/>
          <w:lang w:eastAsia="sk-SK"/>
        </w:rPr>
        <w:t xml:space="preserve">Ostatný v rade je </w:t>
      </w:r>
      <w:r w:rsidRPr="009B3258">
        <w:rPr>
          <w:rFonts w:ascii="Times New Roman" w:hAnsi="Times New Roman" w:cs="Times New Roman"/>
          <w:b/>
          <w:sz w:val="24"/>
          <w:szCs w:val="24"/>
        </w:rPr>
        <w:t xml:space="preserve">Národný štandard finančnej gramotnosti verziu 1.2 </w:t>
      </w:r>
      <w:r w:rsidRPr="009B3258">
        <w:rPr>
          <w:rStyle w:val="Hypertextovprepojenie"/>
          <w:rFonts w:ascii="Times New Roman" w:hAnsi="Times New Roman" w:cs="Times New Roman"/>
          <w:sz w:val="24"/>
          <w:szCs w:val="24"/>
        </w:rPr>
        <w:t>(</w:t>
      </w:r>
      <w:hyperlink r:id="rId8" w:history="1">
        <w:r w:rsidRPr="009B3258">
          <w:rPr>
            <w:rStyle w:val="Hypertextovprepojenie"/>
            <w:rFonts w:ascii="Times New Roman" w:hAnsi="Times New Roman" w:cs="Times New Roman"/>
            <w:sz w:val="24"/>
            <w:szCs w:val="24"/>
          </w:rPr>
          <w:t>www.minedu.sk/narodny-standard-financnej-gramotnosti-verzia-12</w:t>
        </w:r>
      </w:hyperlink>
      <w:r w:rsidRPr="009B3258">
        <w:rPr>
          <w:rStyle w:val="Hypertextovprepojenie"/>
          <w:rFonts w:ascii="Times New Roman" w:hAnsi="Times New Roman" w:cs="Times New Roman"/>
          <w:sz w:val="24"/>
          <w:szCs w:val="24"/>
        </w:rPr>
        <w:t>)</w:t>
      </w:r>
      <w:r w:rsidR="0009411B">
        <w:rPr>
          <w:rStyle w:val="Hypertextovprepojenie"/>
          <w:rFonts w:ascii="Times New Roman" w:hAnsi="Times New Roman" w:cs="Times New Roman"/>
          <w:sz w:val="24"/>
          <w:szCs w:val="24"/>
        </w:rPr>
        <w:t xml:space="preserve">, </w:t>
      </w:r>
      <w:r w:rsidR="0009411B" w:rsidRPr="0009411B">
        <w:rPr>
          <w:rStyle w:val="Hypertextovprepojenie"/>
          <w:rFonts w:ascii="Times New Roman" w:hAnsi="Times New Roman" w:cs="Times New Roman"/>
          <w:color w:val="auto"/>
          <w:sz w:val="24"/>
          <w:szCs w:val="24"/>
          <w:u w:val="none"/>
        </w:rPr>
        <w:t xml:space="preserve">ktorý </w:t>
      </w:r>
      <w:r w:rsidR="0009411B">
        <w:rPr>
          <w:rFonts w:ascii="Times New Roman" w:hAnsi="Times New Roman" w:cs="Times New Roman"/>
          <w:sz w:val="24"/>
          <w:szCs w:val="24"/>
        </w:rPr>
        <w:t>bol spracovaný v rámci</w:t>
      </w:r>
      <w:r w:rsidRPr="009B3258">
        <w:rPr>
          <w:rFonts w:ascii="Times New Roman" w:hAnsi="Times New Roman" w:cs="Times New Roman"/>
          <w:sz w:val="24"/>
          <w:szCs w:val="24"/>
        </w:rPr>
        <w:t xml:space="preserve"> optimalizácie Národného štandardu finančnej gramotnosti verziu 1.1 </w:t>
      </w:r>
      <w:r w:rsidR="00BC225E">
        <w:rPr>
          <w:rFonts w:ascii="Times New Roman" w:eastAsia="Times New Roman" w:hAnsi="Times New Roman" w:cs="Times New Roman"/>
          <w:color w:val="000000"/>
          <w:sz w:val="24"/>
          <w:szCs w:val="24"/>
          <w:lang w:eastAsia="sk-SK"/>
        </w:rPr>
        <w:t xml:space="preserve">(NŠFG). </w:t>
      </w:r>
    </w:p>
    <w:p w:rsidR="00DD37A7" w:rsidRPr="003D65A4" w:rsidRDefault="00DD37A7" w:rsidP="00DD37A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w:t>
      </w:r>
      <w:r w:rsidRPr="003D65A4">
        <w:rPr>
          <w:rFonts w:ascii="Times New Roman" w:hAnsi="Times New Roman" w:cs="Times New Roman"/>
          <w:sz w:val="24"/>
          <w:szCs w:val="24"/>
        </w:rPr>
        <w:t xml:space="preserve">ieľom </w:t>
      </w:r>
      <w:r w:rsidRPr="00BC225E">
        <w:rPr>
          <w:rFonts w:ascii="Times New Roman" w:hAnsi="Times New Roman" w:cs="Times New Roman"/>
          <w:b/>
          <w:sz w:val="24"/>
          <w:szCs w:val="24"/>
        </w:rPr>
        <w:t>mapovania</w:t>
      </w:r>
      <w:r w:rsidR="0009411B">
        <w:rPr>
          <w:rFonts w:ascii="Times New Roman" w:hAnsi="Times New Roman" w:cs="Times New Roman"/>
          <w:b/>
          <w:sz w:val="24"/>
          <w:szCs w:val="24"/>
        </w:rPr>
        <w:t xml:space="preserve"> činností súvisiacich s podporou finančnej gramotnosti</w:t>
      </w:r>
      <w:r>
        <w:rPr>
          <w:rFonts w:ascii="Times New Roman" w:hAnsi="Times New Roman" w:cs="Times New Roman"/>
          <w:sz w:val="24"/>
          <w:szCs w:val="24"/>
        </w:rPr>
        <w:t xml:space="preserve"> je zistiť v akom stave je zabezpečené vzdelávanie v oblasti finančnej gramotnosti</w:t>
      </w:r>
      <w:r w:rsidR="008D1275">
        <w:rPr>
          <w:rFonts w:ascii="Times New Roman" w:hAnsi="Times New Roman" w:cs="Times New Roman"/>
          <w:sz w:val="24"/>
          <w:szCs w:val="24"/>
        </w:rPr>
        <w:t xml:space="preserve"> na Slovensku</w:t>
      </w:r>
      <w:r w:rsidR="0009411B">
        <w:rPr>
          <w:rFonts w:ascii="Times New Roman" w:hAnsi="Times New Roman" w:cs="Times New Roman"/>
          <w:sz w:val="24"/>
          <w:szCs w:val="24"/>
        </w:rPr>
        <w:t xml:space="preserve"> a zistiť aj možnosti zviditeľnenia a sieťovania</w:t>
      </w:r>
      <w:r>
        <w:rPr>
          <w:rFonts w:ascii="Times New Roman" w:hAnsi="Times New Roman" w:cs="Times New Roman"/>
          <w:sz w:val="24"/>
          <w:szCs w:val="24"/>
        </w:rPr>
        <w:t>.</w:t>
      </w:r>
      <w:r w:rsidRPr="003D65A4">
        <w:rPr>
          <w:rFonts w:ascii="Times New Roman" w:hAnsi="Times New Roman" w:cs="Times New Roman"/>
          <w:sz w:val="24"/>
          <w:szCs w:val="24"/>
        </w:rPr>
        <w:t xml:space="preserve">  </w:t>
      </w:r>
    </w:p>
    <w:p w:rsidR="00DD37A7" w:rsidRPr="00100685" w:rsidRDefault="00DD37A7" w:rsidP="00DD37A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Komentované koláčové grafy využijeme </w:t>
      </w:r>
      <w:r w:rsidRPr="003D65A4">
        <w:rPr>
          <w:rFonts w:ascii="Times New Roman" w:hAnsi="Times New Roman" w:cs="Times New Roman"/>
          <w:sz w:val="24"/>
          <w:szCs w:val="24"/>
        </w:rPr>
        <w:t>na  zlepšenie a skvalitnenie finančnej gramotnosti a podnikateľ</w:t>
      </w:r>
      <w:r>
        <w:rPr>
          <w:rFonts w:ascii="Times New Roman" w:hAnsi="Times New Roman" w:cs="Times New Roman"/>
          <w:sz w:val="24"/>
          <w:szCs w:val="24"/>
        </w:rPr>
        <w:t xml:space="preserve">ského vzdelávania </w:t>
      </w:r>
      <w:r w:rsidRPr="003D65A4">
        <w:rPr>
          <w:rFonts w:ascii="Times New Roman" w:hAnsi="Times New Roman" w:cs="Times New Roman"/>
          <w:sz w:val="24"/>
          <w:szCs w:val="24"/>
        </w:rPr>
        <w:t xml:space="preserve">na Slovensku. </w:t>
      </w:r>
    </w:p>
    <w:p w:rsidR="00DD37A7" w:rsidRPr="003D65A4" w:rsidRDefault="00DD37A7" w:rsidP="00DD37A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Našou snahou je</w:t>
      </w:r>
      <w:r w:rsidRPr="003D65A4">
        <w:rPr>
          <w:rFonts w:ascii="Times New Roman" w:hAnsi="Times New Roman" w:cs="Times New Roman"/>
          <w:sz w:val="24"/>
          <w:szCs w:val="24"/>
        </w:rPr>
        <w:t xml:space="preserve"> zistiť, ktoré témy a čiastkové kompetencie z Národného štandardu finančnej gramotnosti verzia 1.2 a z Národného štandardu finančnej gramotnosti verzia 1.1 nie sú dostatočne pokryté</w:t>
      </w:r>
      <w:r>
        <w:rPr>
          <w:rFonts w:ascii="Times New Roman" w:hAnsi="Times New Roman" w:cs="Times New Roman"/>
          <w:sz w:val="24"/>
          <w:szCs w:val="24"/>
        </w:rPr>
        <w:t xml:space="preserve"> a kto</w:t>
      </w:r>
      <w:r w:rsidR="00BC225E">
        <w:rPr>
          <w:rFonts w:ascii="Times New Roman" w:hAnsi="Times New Roman" w:cs="Times New Roman"/>
          <w:sz w:val="24"/>
          <w:szCs w:val="24"/>
        </w:rPr>
        <w:t>rá</w:t>
      </w:r>
      <w:r>
        <w:rPr>
          <w:rFonts w:ascii="Times New Roman" w:hAnsi="Times New Roman" w:cs="Times New Roman"/>
          <w:sz w:val="24"/>
          <w:szCs w:val="24"/>
        </w:rPr>
        <w:t xml:space="preserve"> z mapovaných inštitúcií sa čo najkomplexnejšie </w:t>
      </w:r>
      <w:r w:rsidR="00BC225E">
        <w:rPr>
          <w:rFonts w:ascii="Times New Roman" w:hAnsi="Times New Roman" w:cs="Times New Roman"/>
          <w:sz w:val="24"/>
          <w:szCs w:val="24"/>
        </w:rPr>
        <w:t xml:space="preserve">venuje </w:t>
      </w:r>
      <w:r>
        <w:rPr>
          <w:rFonts w:ascii="Times New Roman" w:hAnsi="Times New Roman" w:cs="Times New Roman"/>
          <w:sz w:val="24"/>
          <w:szCs w:val="24"/>
        </w:rPr>
        <w:t>finančnej gramotnosti</w:t>
      </w:r>
      <w:r w:rsidRPr="003D65A4">
        <w:rPr>
          <w:rFonts w:ascii="Times New Roman" w:hAnsi="Times New Roman" w:cs="Times New Roman"/>
          <w:sz w:val="24"/>
          <w:szCs w:val="24"/>
        </w:rPr>
        <w:t>.</w:t>
      </w:r>
    </w:p>
    <w:p w:rsidR="00BC225E" w:rsidRPr="00A64BA3" w:rsidRDefault="00BC225E" w:rsidP="00BC225E">
      <w:pPr>
        <w:spacing w:after="0" w:line="360" w:lineRule="auto"/>
        <w:jc w:val="both"/>
        <w:rPr>
          <w:rFonts w:ascii="Times New Roman" w:hAnsi="Times New Roman"/>
          <w:sz w:val="24"/>
          <w:szCs w:val="24"/>
        </w:rPr>
      </w:pPr>
      <w:r>
        <w:rPr>
          <w:rFonts w:ascii="Times New Roman" w:hAnsi="Times New Roman"/>
          <w:sz w:val="24"/>
          <w:szCs w:val="24"/>
        </w:rPr>
        <w:t xml:space="preserve">Národný štandard finančnej gramotnosti </w:t>
      </w:r>
      <w:r w:rsidRPr="00857FB4">
        <w:rPr>
          <w:rFonts w:ascii="Times New Roman" w:hAnsi="Times New Roman"/>
          <w:sz w:val="24"/>
          <w:szCs w:val="24"/>
        </w:rPr>
        <w:t xml:space="preserve">verzia </w:t>
      </w:r>
      <w:r>
        <w:rPr>
          <w:rFonts w:ascii="Times New Roman" w:hAnsi="Times New Roman"/>
          <w:sz w:val="24"/>
          <w:szCs w:val="24"/>
        </w:rPr>
        <w:t xml:space="preserve">1.2 </w:t>
      </w:r>
      <w:r w:rsidRPr="00A64BA3">
        <w:rPr>
          <w:rFonts w:ascii="Times New Roman" w:hAnsi="Times New Roman"/>
          <w:sz w:val="24"/>
          <w:szCs w:val="24"/>
        </w:rPr>
        <w:t>vymedzuje šírku poznatkov, zručností a skúseností v oblasti finančného vzdelávania a manažmentu osobných financií</w:t>
      </w:r>
      <w:r>
        <w:rPr>
          <w:rFonts w:ascii="Times New Roman" w:hAnsi="Times New Roman"/>
          <w:sz w:val="24"/>
          <w:szCs w:val="24"/>
        </w:rPr>
        <w:t>, z ktorého vyplýva, že a</w:t>
      </w:r>
      <w:r w:rsidRPr="00A64BA3">
        <w:rPr>
          <w:rFonts w:ascii="Times New Roman" w:hAnsi="Times New Roman"/>
          <w:sz w:val="24"/>
          <w:szCs w:val="24"/>
        </w:rPr>
        <w:t>bsolvent strednej školy (vyššieho sekundárneho vzdelávania) by mal byť schopný:</w:t>
      </w:r>
    </w:p>
    <w:p w:rsidR="00BC225E" w:rsidRPr="00A64BA3"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 xml:space="preserve">nájsť, vyhodnotiť a použiť finančné informácie, </w:t>
      </w:r>
    </w:p>
    <w:p w:rsidR="00BC225E" w:rsidRPr="00A64BA3"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poznať základné pravidlá riadenia financií,</w:t>
      </w:r>
    </w:p>
    <w:p w:rsidR="00BC225E" w:rsidRPr="00A64BA3"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 xml:space="preserve">rozoznávať riziká v riadení financií, </w:t>
      </w:r>
    </w:p>
    <w:p w:rsidR="00BC225E" w:rsidRPr="00A64BA3"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lastRenderedPageBreak/>
        <w:t xml:space="preserve">stanoviť si finančné ciele a naplánovať si ich dosiahnutie, </w:t>
      </w:r>
    </w:p>
    <w:p w:rsidR="00BC225E" w:rsidRPr="00A64BA3"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 xml:space="preserve">rozvinúť potenciál získania vlastného príjmu a schopnosť sporiť, </w:t>
      </w:r>
    </w:p>
    <w:p w:rsidR="00BC225E" w:rsidRPr="00A64BA3"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efektívne používať finančné služby,</w:t>
      </w:r>
    </w:p>
    <w:p w:rsidR="00BC225E"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 xml:space="preserve">plniť svoje finančné záväzky, </w:t>
      </w:r>
    </w:p>
    <w:p w:rsidR="00BC225E" w:rsidRPr="00A64BA3"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zveľaďovať a chrániť svoj</w:t>
      </w:r>
      <w:r>
        <w:rPr>
          <w:rFonts w:ascii="Times New Roman" w:hAnsi="Times New Roman"/>
          <w:sz w:val="24"/>
          <w:szCs w:val="24"/>
        </w:rPr>
        <w:t xml:space="preserve"> aj </w:t>
      </w:r>
      <w:r w:rsidRPr="00934AA3">
        <w:rPr>
          <w:rFonts w:ascii="Times New Roman" w:hAnsi="Times New Roman"/>
          <w:sz w:val="24"/>
          <w:szCs w:val="24"/>
        </w:rPr>
        <w:t>zverený</w:t>
      </w:r>
      <w:r w:rsidRPr="00A64BA3">
        <w:rPr>
          <w:rFonts w:ascii="Times New Roman" w:hAnsi="Times New Roman"/>
          <w:sz w:val="24"/>
          <w:szCs w:val="24"/>
        </w:rPr>
        <w:t xml:space="preserve"> majetok,</w:t>
      </w:r>
    </w:p>
    <w:p w:rsidR="00BC225E" w:rsidRPr="00A64BA3"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porozumieť a orientovať sa v zabezpečovaní základných ľudských a ekonomických potrieb jednotlivca a rodiny,</w:t>
      </w:r>
      <w:r>
        <w:rPr>
          <w:rFonts w:ascii="Times New Roman" w:hAnsi="Times New Roman"/>
          <w:sz w:val="24"/>
          <w:szCs w:val="24"/>
        </w:rPr>
        <w:t xml:space="preserve"> podniku,</w:t>
      </w:r>
    </w:p>
    <w:p w:rsidR="00BC225E"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hodnotiť úspešnosť vlastnej sebarealizácie, inšpirovať sa príkladmi úspešných osobností,</w:t>
      </w:r>
    </w:p>
    <w:p w:rsidR="00BC225E" w:rsidRPr="00A64BA3"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porozumieť základným pojmom v</w:t>
      </w:r>
      <w:r>
        <w:rPr>
          <w:rFonts w:ascii="Times New Roman" w:hAnsi="Times New Roman"/>
          <w:sz w:val="24"/>
          <w:szCs w:val="24"/>
        </w:rPr>
        <w:t> jednotlivých témach</w:t>
      </w:r>
      <w:r w:rsidRPr="00A64BA3">
        <w:rPr>
          <w:rFonts w:ascii="Times New Roman" w:hAnsi="Times New Roman"/>
          <w:sz w:val="24"/>
          <w:szCs w:val="24"/>
        </w:rPr>
        <w:t>,</w:t>
      </w:r>
    </w:p>
    <w:p w:rsidR="00BC225E" w:rsidRPr="00A64BA3"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 xml:space="preserve">orientovať sa v oblasti </w:t>
      </w:r>
      <w:r>
        <w:rPr>
          <w:rFonts w:ascii="Times New Roman" w:hAnsi="Times New Roman"/>
          <w:sz w:val="24"/>
          <w:szCs w:val="24"/>
        </w:rPr>
        <w:t>finančného trhu</w:t>
      </w:r>
      <w:r w:rsidRPr="00A64BA3">
        <w:rPr>
          <w:rFonts w:ascii="Times New Roman" w:hAnsi="Times New Roman"/>
          <w:sz w:val="24"/>
          <w:szCs w:val="24"/>
        </w:rPr>
        <w:t xml:space="preserve"> (NBS, komerčné banky, poisťovne</w:t>
      </w:r>
      <w:r>
        <w:rPr>
          <w:rFonts w:ascii="Times New Roman" w:hAnsi="Times New Roman"/>
          <w:sz w:val="24"/>
          <w:szCs w:val="24"/>
        </w:rPr>
        <w:t>, finanční sprostredkovatelia</w:t>
      </w:r>
      <w:r w:rsidRPr="00A64BA3">
        <w:rPr>
          <w:rFonts w:ascii="Times New Roman" w:hAnsi="Times New Roman"/>
          <w:sz w:val="24"/>
          <w:szCs w:val="24"/>
        </w:rPr>
        <w:t xml:space="preserve"> a ostatné finančné inštitúcie),</w:t>
      </w:r>
    </w:p>
    <w:p w:rsidR="00BC225E"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A64BA3">
        <w:rPr>
          <w:rFonts w:ascii="Times New Roman" w:hAnsi="Times New Roman"/>
          <w:sz w:val="24"/>
          <w:szCs w:val="24"/>
        </w:rPr>
        <w:t>orientovať sa v problematike ochrany práv spotrebiteľa a byť</w:t>
      </w:r>
      <w:r>
        <w:rPr>
          <w:rFonts w:ascii="Times New Roman" w:hAnsi="Times New Roman"/>
          <w:sz w:val="24"/>
          <w:szCs w:val="24"/>
        </w:rPr>
        <w:t xml:space="preserve"> schopný tieto práva uplatňovať,</w:t>
      </w:r>
    </w:p>
    <w:p w:rsidR="00BC225E" w:rsidRPr="00514E3E" w:rsidRDefault="00BC225E" w:rsidP="00BC225E">
      <w:pPr>
        <w:pStyle w:val="Odsekzoznamu"/>
        <w:numPr>
          <w:ilvl w:val="0"/>
          <w:numId w:val="1"/>
        </w:numPr>
        <w:spacing w:after="0" w:line="360" w:lineRule="auto"/>
        <w:ind w:left="357" w:hanging="357"/>
        <w:contextualSpacing w:val="0"/>
        <w:jc w:val="both"/>
        <w:rPr>
          <w:rFonts w:ascii="Times New Roman" w:hAnsi="Times New Roman"/>
          <w:sz w:val="24"/>
          <w:szCs w:val="24"/>
        </w:rPr>
      </w:pPr>
      <w:r w:rsidRPr="00514E3E">
        <w:rPr>
          <w:rFonts w:ascii="Times New Roman" w:hAnsi="Times New Roman"/>
          <w:sz w:val="24"/>
          <w:szCs w:val="24"/>
        </w:rPr>
        <w:t>ovládať práva</w:t>
      </w:r>
      <w:r>
        <w:rPr>
          <w:rFonts w:ascii="Times New Roman" w:hAnsi="Times New Roman"/>
          <w:sz w:val="24"/>
          <w:szCs w:val="24"/>
        </w:rPr>
        <w:t>, povinnosti, klady a riziká oso</w:t>
      </w:r>
      <w:r w:rsidRPr="00514E3E">
        <w:rPr>
          <w:rFonts w:ascii="Times New Roman" w:hAnsi="Times New Roman"/>
          <w:sz w:val="24"/>
          <w:szCs w:val="24"/>
        </w:rPr>
        <w:t>b</w:t>
      </w:r>
      <w:r>
        <w:rPr>
          <w:rFonts w:ascii="Times New Roman" w:hAnsi="Times New Roman"/>
          <w:sz w:val="24"/>
          <w:szCs w:val="24"/>
        </w:rPr>
        <w:t>y</w:t>
      </w:r>
      <w:r w:rsidRPr="00514E3E">
        <w:rPr>
          <w:rFonts w:ascii="Times New Roman" w:hAnsi="Times New Roman"/>
          <w:sz w:val="24"/>
          <w:szCs w:val="24"/>
        </w:rPr>
        <w:t xml:space="preserve"> fungujúc</w:t>
      </w:r>
      <w:r>
        <w:rPr>
          <w:rFonts w:ascii="Times New Roman" w:hAnsi="Times New Roman"/>
          <w:sz w:val="24"/>
          <w:szCs w:val="24"/>
        </w:rPr>
        <w:t>ej</w:t>
      </w:r>
      <w:r w:rsidRPr="00514E3E">
        <w:rPr>
          <w:rFonts w:ascii="Times New Roman" w:hAnsi="Times New Roman"/>
          <w:sz w:val="24"/>
          <w:szCs w:val="24"/>
        </w:rPr>
        <w:t xml:space="preserve"> ako podnikate</w:t>
      </w:r>
      <w:r>
        <w:rPr>
          <w:rFonts w:ascii="Times New Roman" w:hAnsi="Times New Roman"/>
          <w:sz w:val="24"/>
          <w:szCs w:val="24"/>
        </w:rPr>
        <w:t>ľ,</w:t>
      </w:r>
    </w:p>
    <w:p w:rsidR="00BC225E" w:rsidRPr="00514E3E" w:rsidRDefault="00BC225E" w:rsidP="00BC225E">
      <w:pPr>
        <w:pStyle w:val="Odsekzoznamu"/>
        <w:numPr>
          <w:ilvl w:val="0"/>
          <w:numId w:val="1"/>
        </w:numPr>
        <w:spacing w:after="120" w:line="360" w:lineRule="auto"/>
        <w:ind w:left="357" w:hanging="357"/>
        <w:contextualSpacing w:val="0"/>
        <w:jc w:val="both"/>
        <w:rPr>
          <w:rFonts w:ascii="Times New Roman" w:hAnsi="Times New Roman"/>
          <w:sz w:val="24"/>
          <w:szCs w:val="24"/>
        </w:rPr>
      </w:pPr>
      <w:r w:rsidRPr="00514E3E">
        <w:rPr>
          <w:rFonts w:ascii="Times New Roman" w:hAnsi="Times New Roman"/>
          <w:sz w:val="24"/>
          <w:szCs w:val="24"/>
        </w:rPr>
        <w:t>zostaviť a prezentovať vlastný podnikateľský zámer, myslieť strategicky, analyzovať a riešiť problémy</w:t>
      </w:r>
      <w:r>
        <w:rPr>
          <w:rFonts w:ascii="Times New Roman" w:hAnsi="Times New Roman"/>
          <w:sz w:val="24"/>
          <w:szCs w:val="24"/>
        </w:rPr>
        <w:t>.</w:t>
      </w:r>
    </w:p>
    <w:p w:rsidR="00ED5A8C" w:rsidRPr="00ED5A8C" w:rsidRDefault="00ED5A8C" w:rsidP="00ED5A8C">
      <w:pPr>
        <w:pStyle w:val="Odsekzoznamu"/>
        <w:spacing w:after="0" w:line="360" w:lineRule="auto"/>
        <w:ind w:left="360"/>
        <w:jc w:val="both"/>
        <w:rPr>
          <w:rFonts w:ascii="Times New Roman" w:hAnsi="Times New Roman"/>
          <w:sz w:val="24"/>
          <w:szCs w:val="24"/>
        </w:rPr>
      </w:pPr>
      <w:r w:rsidRPr="00ED5A8C">
        <w:rPr>
          <w:rFonts w:ascii="Times New Roman" w:hAnsi="Times New Roman"/>
          <w:sz w:val="24"/>
          <w:szCs w:val="24"/>
        </w:rPr>
        <w:t xml:space="preserve">Národný štandard finančnej gramotnosti je usporiadaný do šiestich tém: Finančná zodpovednosť a prijímanie rozhodnutí; Plánovanie, príjem a práca; Rozhodovanie a hospodárenie spotrebiteľov; Úver a dlh; Sporenie a investovanie, Riadenie rizika a poistenie. Jednotlivé témy sú rozpísané do čiastkových kompetencií. Tieto čiastkové kompetencie sú popísané na úrovniach, pričom na týchto úrovniach sú opísané poznatky, zručnosti a skúsenosti, ktoré by mali byť žiaci schopní preukázať. </w:t>
      </w:r>
    </w:p>
    <w:p w:rsidR="00ED5A8C" w:rsidRPr="00ED5A8C" w:rsidRDefault="00ED5A8C" w:rsidP="00ED5A8C">
      <w:pPr>
        <w:pStyle w:val="Odsekzoznamu"/>
        <w:numPr>
          <w:ilvl w:val="0"/>
          <w:numId w:val="1"/>
        </w:numPr>
        <w:spacing w:after="0" w:line="360" w:lineRule="auto"/>
        <w:jc w:val="both"/>
        <w:rPr>
          <w:rFonts w:ascii="Times New Roman" w:hAnsi="Times New Roman"/>
          <w:sz w:val="24"/>
          <w:szCs w:val="24"/>
        </w:rPr>
      </w:pPr>
      <w:r w:rsidRPr="00ED5A8C">
        <w:rPr>
          <w:rFonts w:ascii="Times New Roman" w:hAnsi="Times New Roman"/>
          <w:b/>
          <w:sz w:val="24"/>
          <w:szCs w:val="24"/>
          <w:u w:val="single"/>
        </w:rPr>
        <w:t>Prvá úroveň</w:t>
      </w:r>
      <w:r w:rsidRPr="00ED5A8C">
        <w:rPr>
          <w:rFonts w:ascii="Times New Roman" w:hAnsi="Times New Roman"/>
          <w:sz w:val="24"/>
          <w:szCs w:val="24"/>
        </w:rPr>
        <w:t xml:space="preserve"> je určená pre žiakov prvého stupňa základnej školy. </w:t>
      </w:r>
    </w:p>
    <w:p w:rsidR="00ED5A8C" w:rsidRPr="00ED5A8C" w:rsidRDefault="00ED5A8C" w:rsidP="00ED5A8C">
      <w:pPr>
        <w:pStyle w:val="Odsekzoznamu"/>
        <w:numPr>
          <w:ilvl w:val="0"/>
          <w:numId w:val="1"/>
        </w:numPr>
        <w:spacing w:after="0" w:line="360" w:lineRule="auto"/>
        <w:jc w:val="both"/>
        <w:rPr>
          <w:rFonts w:ascii="Times New Roman" w:hAnsi="Times New Roman"/>
          <w:sz w:val="24"/>
          <w:szCs w:val="24"/>
        </w:rPr>
      </w:pPr>
      <w:r w:rsidRPr="00ED5A8C">
        <w:rPr>
          <w:rFonts w:ascii="Times New Roman" w:hAnsi="Times New Roman"/>
          <w:b/>
          <w:sz w:val="24"/>
          <w:szCs w:val="24"/>
          <w:u w:val="single"/>
        </w:rPr>
        <w:t>Druhá úroveň</w:t>
      </w:r>
      <w:r w:rsidRPr="00ED5A8C">
        <w:rPr>
          <w:rFonts w:ascii="Times New Roman" w:hAnsi="Times New Roman"/>
          <w:b/>
          <w:sz w:val="24"/>
          <w:szCs w:val="24"/>
        </w:rPr>
        <w:t xml:space="preserve"> </w:t>
      </w:r>
      <w:r w:rsidRPr="00ED5A8C">
        <w:rPr>
          <w:rFonts w:ascii="Times New Roman" w:hAnsi="Times New Roman"/>
          <w:sz w:val="24"/>
          <w:szCs w:val="24"/>
        </w:rPr>
        <w:t xml:space="preserve">predstavuje požiadavky na žiakov druhého stupňa základnej školy, prvého až štvrtého ročníka gymnázia s osemročným štúdiom, prvého ročníka bilingválneho gymnázia ako aj nižšieho stredného odborného vzdelania a stredného odborného vzdelania. </w:t>
      </w:r>
    </w:p>
    <w:p w:rsidR="00ED5A8C" w:rsidRPr="00906FF3" w:rsidRDefault="00ED5A8C" w:rsidP="00906FF3">
      <w:pPr>
        <w:pStyle w:val="Odsekzoznamu"/>
        <w:numPr>
          <w:ilvl w:val="0"/>
          <w:numId w:val="1"/>
        </w:numPr>
        <w:spacing w:after="120" w:line="360" w:lineRule="auto"/>
        <w:jc w:val="both"/>
        <w:rPr>
          <w:rFonts w:ascii="Times New Roman" w:hAnsi="Times New Roman"/>
          <w:sz w:val="24"/>
          <w:szCs w:val="24"/>
        </w:rPr>
      </w:pPr>
      <w:r w:rsidRPr="00ED5A8C">
        <w:rPr>
          <w:rFonts w:ascii="Times New Roman" w:hAnsi="Times New Roman"/>
          <w:b/>
          <w:sz w:val="24"/>
          <w:szCs w:val="24"/>
          <w:u w:val="single"/>
        </w:rPr>
        <w:t>Tretia úroveň</w:t>
      </w:r>
      <w:r w:rsidRPr="00ED5A8C">
        <w:rPr>
          <w:rFonts w:ascii="Times New Roman" w:hAnsi="Times New Roman"/>
          <w:sz w:val="24"/>
          <w:szCs w:val="24"/>
        </w:rPr>
        <w:t xml:space="preserve"> je určená žiakom študijných odborov, ktorí dosiahnu úplné stredné všeobecné vzdelanie (gymnázium) alebo úplne stredné odborné vzdelanie (stredná odborná škola). </w:t>
      </w:r>
    </w:p>
    <w:p w:rsidR="00ED5A8C" w:rsidRPr="00ED5A8C" w:rsidRDefault="00ED5A8C" w:rsidP="00ED5A8C">
      <w:pPr>
        <w:pStyle w:val="Odsekzoznamu"/>
        <w:widowControl w:val="0"/>
        <w:tabs>
          <w:tab w:val="left" w:pos="1276"/>
        </w:tabs>
        <w:autoSpaceDE w:val="0"/>
        <w:autoSpaceDN w:val="0"/>
        <w:adjustRightInd w:val="0"/>
        <w:spacing w:after="0" w:line="239" w:lineRule="auto"/>
        <w:ind w:left="0"/>
        <w:rPr>
          <w:rFonts w:ascii="Times New Roman" w:hAnsi="Times New Roman"/>
          <w:color w:val="2F5496" w:themeColor="accent5" w:themeShade="BF"/>
          <w:sz w:val="24"/>
          <w:szCs w:val="24"/>
        </w:rPr>
      </w:pPr>
      <w:r w:rsidRPr="00ED5A8C">
        <w:rPr>
          <w:rFonts w:ascii="Cambria" w:hAnsi="Cambria" w:cs="Cambria"/>
          <w:b/>
          <w:bCs/>
          <w:color w:val="2F5496" w:themeColor="accent5" w:themeShade="BF"/>
          <w:sz w:val="28"/>
          <w:szCs w:val="28"/>
        </w:rPr>
        <w:lastRenderedPageBreak/>
        <w:t xml:space="preserve">Témy   </w:t>
      </w:r>
    </w:p>
    <w:p w:rsidR="00ED5A8C" w:rsidRPr="00ED5A8C" w:rsidRDefault="00ED5A8C" w:rsidP="00ED5A8C">
      <w:pPr>
        <w:pStyle w:val="Odsekzoznamu"/>
        <w:widowControl w:val="0"/>
        <w:autoSpaceDE w:val="0"/>
        <w:autoSpaceDN w:val="0"/>
        <w:adjustRightInd w:val="0"/>
        <w:spacing w:after="0" w:line="361" w:lineRule="exact"/>
        <w:ind w:left="0"/>
        <w:rPr>
          <w:rFonts w:ascii="Times New Roman" w:hAnsi="Times New Roman"/>
          <w:color w:val="4472C4" w:themeColor="accent5"/>
          <w:sz w:val="24"/>
          <w:szCs w:val="24"/>
        </w:rPr>
      </w:pPr>
      <w:bookmarkStart w:id="0" w:name="page7"/>
      <w:bookmarkStart w:id="1" w:name="page8"/>
      <w:bookmarkEnd w:id="0"/>
      <w:bookmarkEnd w:id="1"/>
    </w:p>
    <w:p w:rsidR="00ED5A8C" w:rsidRPr="00ED5A8C" w:rsidRDefault="00ED5A8C" w:rsidP="00ED5A8C">
      <w:pPr>
        <w:pStyle w:val="Odsekzoznamu"/>
        <w:widowControl w:val="0"/>
        <w:autoSpaceDE w:val="0"/>
        <w:autoSpaceDN w:val="0"/>
        <w:adjustRightInd w:val="0"/>
        <w:spacing w:after="0" w:line="240" w:lineRule="auto"/>
        <w:ind w:left="0"/>
        <w:rPr>
          <w:rFonts w:ascii="Times New Roman" w:hAnsi="Times New Roman"/>
          <w:color w:val="4472C4" w:themeColor="accent5"/>
          <w:sz w:val="24"/>
          <w:szCs w:val="24"/>
        </w:rPr>
      </w:pPr>
      <w:r w:rsidRPr="00ED5A8C">
        <w:rPr>
          <w:rFonts w:ascii="Cambria" w:hAnsi="Cambria" w:cs="Cambria"/>
          <w:b/>
          <w:bCs/>
          <w:color w:val="4472C4" w:themeColor="accent5"/>
          <w:sz w:val="26"/>
          <w:szCs w:val="26"/>
        </w:rPr>
        <w:t>1. Finančná zodpovednosť spotrebiteľov</w:t>
      </w:r>
    </w:p>
    <w:p w:rsidR="00ED5A8C" w:rsidRPr="00ED5A8C" w:rsidRDefault="00ED5A8C" w:rsidP="00ED5A8C">
      <w:pPr>
        <w:pStyle w:val="Odsekzoznamu"/>
        <w:widowControl w:val="0"/>
        <w:autoSpaceDE w:val="0"/>
        <w:autoSpaceDN w:val="0"/>
        <w:adjustRightInd w:val="0"/>
        <w:spacing w:after="0" w:line="275" w:lineRule="exact"/>
        <w:ind w:left="0"/>
        <w:rPr>
          <w:rFonts w:ascii="Times New Roman" w:hAnsi="Times New Roman"/>
          <w:sz w:val="24"/>
          <w:szCs w:val="24"/>
        </w:rPr>
      </w:pPr>
    </w:p>
    <w:p w:rsidR="00ED5A8C" w:rsidRPr="00ED5A8C" w:rsidRDefault="00ED5A8C" w:rsidP="00ED5A8C">
      <w:pPr>
        <w:pStyle w:val="Odsekzoznamu"/>
        <w:widowControl w:val="0"/>
        <w:autoSpaceDE w:val="0"/>
        <w:autoSpaceDN w:val="0"/>
        <w:adjustRightInd w:val="0"/>
        <w:spacing w:after="0" w:line="240" w:lineRule="auto"/>
        <w:ind w:left="0"/>
        <w:rPr>
          <w:rFonts w:ascii="Times New Roman" w:hAnsi="Times New Roman"/>
          <w:sz w:val="24"/>
          <w:szCs w:val="24"/>
        </w:rPr>
      </w:pPr>
      <w:r w:rsidRPr="00ED5A8C">
        <w:rPr>
          <w:rFonts w:ascii="Times New Roman" w:hAnsi="Times New Roman"/>
          <w:b/>
          <w:bCs/>
          <w:i/>
          <w:iCs/>
          <w:sz w:val="24"/>
          <w:szCs w:val="24"/>
          <w:u w:val="single"/>
        </w:rPr>
        <w:t>Celková kompetencia</w:t>
      </w:r>
    </w:p>
    <w:p w:rsidR="00ED5A8C" w:rsidRPr="00ED5A8C" w:rsidRDefault="00ED5A8C" w:rsidP="00ED5A8C">
      <w:pPr>
        <w:pStyle w:val="Odsekzoznamu"/>
        <w:widowControl w:val="0"/>
        <w:autoSpaceDE w:val="0"/>
        <w:autoSpaceDN w:val="0"/>
        <w:adjustRightInd w:val="0"/>
        <w:spacing w:after="0" w:line="277" w:lineRule="exact"/>
        <w:ind w:left="0"/>
        <w:rPr>
          <w:rFonts w:ascii="Times New Roman" w:hAnsi="Times New Roman"/>
          <w:sz w:val="24"/>
          <w:szCs w:val="24"/>
        </w:rPr>
      </w:pPr>
    </w:p>
    <w:p w:rsidR="00ED5A8C" w:rsidRPr="00ED5A8C" w:rsidRDefault="00ED5A8C" w:rsidP="00ED5A8C">
      <w:pPr>
        <w:pStyle w:val="Odsekzoznamu"/>
        <w:widowControl w:val="0"/>
        <w:autoSpaceDE w:val="0"/>
        <w:autoSpaceDN w:val="0"/>
        <w:adjustRightInd w:val="0"/>
        <w:spacing w:after="0" w:line="240" w:lineRule="auto"/>
        <w:ind w:left="0"/>
        <w:rPr>
          <w:rFonts w:ascii="Times New Roman" w:hAnsi="Times New Roman"/>
          <w:b/>
          <w:bCs/>
          <w:i/>
          <w:iCs/>
          <w:sz w:val="24"/>
          <w:szCs w:val="24"/>
        </w:rPr>
      </w:pPr>
      <w:r w:rsidRPr="00ED5A8C">
        <w:rPr>
          <w:rFonts w:ascii="Times New Roman" w:hAnsi="Times New Roman"/>
          <w:b/>
          <w:bCs/>
          <w:i/>
          <w:iCs/>
          <w:sz w:val="24"/>
          <w:szCs w:val="24"/>
        </w:rPr>
        <w:t>Používanie spoľahlivých informácií a uplatňovanie rozhodovacích procesov v osobných financiách</w:t>
      </w:r>
    </w:p>
    <w:p w:rsidR="00ED5A8C" w:rsidRPr="00ED5A8C" w:rsidRDefault="00ED5A8C" w:rsidP="00ED5A8C">
      <w:pPr>
        <w:pStyle w:val="Odsekzoznamu"/>
        <w:widowControl w:val="0"/>
        <w:autoSpaceDE w:val="0"/>
        <w:autoSpaceDN w:val="0"/>
        <w:adjustRightInd w:val="0"/>
        <w:spacing w:after="0" w:line="240" w:lineRule="auto"/>
        <w:ind w:left="0"/>
        <w:rPr>
          <w:rFonts w:ascii="Times New Roman" w:hAnsi="Times New Roman"/>
          <w:b/>
          <w:bCs/>
          <w:i/>
          <w:iCs/>
          <w:sz w:val="24"/>
          <w:szCs w:val="24"/>
        </w:rPr>
      </w:pPr>
    </w:p>
    <w:p w:rsidR="00ED5A8C" w:rsidRPr="00ED5A8C" w:rsidRDefault="00ED5A8C" w:rsidP="00AF73DF">
      <w:pPr>
        <w:pStyle w:val="Odsekzoznamu"/>
        <w:widowControl w:val="0"/>
        <w:autoSpaceDE w:val="0"/>
        <w:autoSpaceDN w:val="0"/>
        <w:adjustRightInd w:val="0"/>
        <w:spacing w:after="120" w:line="360" w:lineRule="auto"/>
        <w:ind w:left="0"/>
        <w:jc w:val="both"/>
        <w:rPr>
          <w:rFonts w:ascii="Times New Roman" w:hAnsi="Times New Roman"/>
          <w:bCs/>
          <w:iCs/>
          <w:sz w:val="24"/>
          <w:szCs w:val="24"/>
        </w:rPr>
      </w:pPr>
      <w:r w:rsidRPr="00ED5A8C">
        <w:rPr>
          <w:rFonts w:ascii="Times New Roman" w:hAnsi="Times New Roman"/>
          <w:bCs/>
          <w:iCs/>
          <w:sz w:val="24"/>
          <w:szCs w:val="24"/>
        </w:rPr>
        <w:t>Čiastková kompetencia 1:</w:t>
      </w:r>
      <w:r w:rsidRPr="00ED5A8C">
        <w:rPr>
          <w:rFonts w:ascii="Times New Roman" w:hAnsi="Times New Roman"/>
          <w:bCs/>
          <w:iCs/>
          <w:sz w:val="24"/>
          <w:szCs w:val="24"/>
        </w:rPr>
        <w:tab/>
        <w:t>Určiť rôzne spôsoby komunikácie o finančných záležitostiach</w:t>
      </w:r>
    </w:p>
    <w:p w:rsidR="00ED5A8C" w:rsidRPr="00ED5A8C" w:rsidRDefault="00ED5A8C" w:rsidP="00AF73DF">
      <w:pPr>
        <w:pStyle w:val="Odsekzoznamu"/>
        <w:widowControl w:val="0"/>
        <w:autoSpaceDE w:val="0"/>
        <w:autoSpaceDN w:val="0"/>
        <w:adjustRightInd w:val="0"/>
        <w:spacing w:after="120" w:line="360" w:lineRule="auto"/>
        <w:ind w:left="0"/>
        <w:jc w:val="both"/>
        <w:rPr>
          <w:rFonts w:ascii="Times New Roman" w:hAnsi="Times New Roman"/>
          <w:bCs/>
          <w:iCs/>
          <w:sz w:val="24"/>
          <w:szCs w:val="24"/>
        </w:rPr>
      </w:pPr>
      <w:r w:rsidRPr="00ED5A8C">
        <w:rPr>
          <w:rFonts w:ascii="Times New Roman" w:hAnsi="Times New Roman"/>
          <w:bCs/>
          <w:iCs/>
          <w:sz w:val="24"/>
          <w:szCs w:val="24"/>
        </w:rPr>
        <w:t>Čiastková kompetencia 2:</w:t>
      </w:r>
      <w:r w:rsidRPr="00ED5A8C">
        <w:rPr>
          <w:rFonts w:ascii="Times New Roman" w:hAnsi="Times New Roman"/>
          <w:bCs/>
          <w:iCs/>
          <w:sz w:val="24"/>
          <w:szCs w:val="24"/>
        </w:rPr>
        <w:tab/>
        <w:t>Stručne zhrnúť hlavné nástroje na ochranu spotrebiteľov</w:t>
      </w:r>
    </w:p>
    <w:p w:rsidR="00ED5A8C" w:rsidRDefault="00ED5A8C" w:rsidP="00AF73DF">
      <w:pPr>
        <w:pStyle w:val="Odsekzoznamu"/>
        <w:widowControl w:val="0"/>
        <w:autoSpaceDE w:val="0"/>
        <w:autoSpaceDN w:val="0"/>
        <w:adjustRightInd w:val="0"/>
        <w:spacing w:after="120" w:line="360" w:lineRule="auto"/>
        <w:ind w:left="0"/>
        <w:jc w:val="both"/>
        <w:rPr>
          <w:rFonts w:ascii="Times New Roman" w:hAnsi="Times New Roman"/>
          <w:bCs/>
          <w:iCs/>
          <w:sz w:val="24"/>
          <w:szCs w:val="24"/>
        </w:rPr>
      </w:pPr>
      <w:r w:rsidRPr="00ED5A8C">
        <w:rPr>
          <w:rFonts w:ascii="Times New Roman" w:hAnsi="Times New Roman"/>
          <w:bCs/>
          <w:iCs/>
          <w:sz w:val="24"/>
          <w:szCs w:val="24"/>
        </w:rPr>
        <w:t>Čiastková kompetencia 3</w:t>
      </w:r>
      <w:r>
        <w:rPr>
          <w:rFonts w:ascii="Times New Roman" w:hAnsi="Times New Roman"/>
          <w:bCs/>
          <w:iCs/>
          <w:sz w:val="24"/>
          <w:szCs w:val="24"/>
        </w:rPr>
        <w:t xml:space="preserve">:      </w:t>
      </w:r>
      <w:r w:rsidRPr="00ED5A8C">
        <w:rPr>
          <w:rFonts w:ascii="Times New Roman" w:hAnsi="Times New Roman"/>
          <w:bCs/>
          <w:iCs/>
          <w:sz w:val="24"/>
          <w:szCs w:val="24"/>
        </w:rPr>
        <w:t>Vysvetliť spôsob regulácie a dohľadu nad finančnými trhmi</w:t>
      </w:r>
    </w:p>
    <w:p w:rsidR="00ED5A8C" w:rsidRDefault="00ED5A8C" w:rsidP="00AF73DF">
      <w:pPr>
        <w:pStyle w:val="Odsekzoznamu"/>
        <w:widowControl w:val="0"/>
        <w:autoSpaceDE w:val="0"/>
        <w:autoSpaceDN w:val="0"/>
        <w:adjustRightInd w:val="0"/>
        <w:spacing w:after="120" w:line="360" w:lineRule="auto"/>
        <w:ind w:left="2835" w:hanging="2835"/>
        <w:jc w:val="both"/>
        <w:rPr>
          <w:rFonts w:ascii="Times New Roman" w:hAnsi="Times New Roman"/>
          <w:bCs/>
          <w:iCs/>
          <w:sz w:val="24"/>
          <w:szCs w:val="24"/>
        </w:rPr>
      </w:pPr>
      <w:r w:rsidRPr="00ED5A8C">
        <w:rPr>
          <w:rFonts w:ascii="Times New Roman" w:hAnsi="Times New Roman"/>
          <w:bCs/>
          <w:iCs/>
          <w:sz w:val="24"/>
          <w:szCs w:val="24"/>
        </w:rPr>
        <w:t xml:space="preserve">Čiastková kompetencia 4:     </w:t>
      </w:r>
      <w:r w:rsidRPr="00ED5A8C">
        <w:rPr>
          <w:rFonts w:ascii="Times New Roman" w:hAnsi="Times New Roman"/>
          <w:bCs/>
          <w:iCs/>
          <w:sz w:val="24"/>
          <w:szCs w:val="24"/>
        </w:rPr>
        <w:tab/>
        <w:t xml:space="preserve">Posúdiť význam boja proti korupcii, podvodom, ochrany proti praniu špinavých peňazí </w:t>
      </w:r>
    </w:p>
    <w:p w:rsidR="00ED5A8C" w:rsidRDefault="00ED5A8C" w:rsidP="00ED5A8C">
      <w:pPr>
        <w:pStyle w:val="Odsekzoznamu"/>
        <w:widowControl w:val="0"/>
        <w:autoSpaceDE w:val="0"/>
        <w:autoSpaceDN w:val="0"/>
        <w:adjustRightInd w:val="0"/>
        <w:spacing w:after="0" w:line="240" w:lineRule="auto"/>
        <w:ind w:left="0"/>
        <w:rPr>
          <w:rFonts w:ascii="Times New Roman" w:hAnsi="Times New Roman"/>
          <w:bCs/>
          <w:iCs/>
          <w:sz w:val="24"/>
          <w:szCs w:val="24"/>
        </w:rPr>
      </w:pPr>
    </w:p>
    <w:p w:rsidR="00C07D60" w:rsidRDefault="00C07D60" w:rsidP="00ED5A8C">
      <w:pPr>
        <w:pStyle w:val="Odsekzoznamu"/>
        <w:widowControl w:val="0"/>
        <w:autoSpaceDE w:val="0"/>
        <w:autoSpaceDN w:val="0"/>
        <w:adjustRightInd w:val="0"/>
        <w:spacing w:after="0" w:line="240" w:lineRule="auto"/>
        <w:ind w:left="0"/>
        <w:rPr>
          <w:rFonts w:ascii="Times New Roman" w:hAnsi="Times New Roman"/>
          <w:bCs/>
          <w:iCs/>
          <w:sz w:val="24"/>
          <w:szCs w:val="24"/>
        </w:rPr>
      </w:pPr>
    </w:p>
    <w:p w:rsidR="00ED5A8C" w:rsidRPr="00ED5A8C" w:rsidRDefault="00ED5A8C" w:rsidP="00ED5A8C">
      <w:pPr>
        <w:pStyle w:val="Odsekzoznamu"/>
        <w:widowControl w:val="0"/>
        <w:autoSpaceDE w:val="0"/>
        <w:autoSpaceDN w:val="0"/>
        <w:adjustRightInd w:val="0"/>
        <w:spacing w:after="0" w:line="240" w:lineRule="auto"/>
        <w:ind w:left="0"/>
        <w:rPr>
          <w:rFonts w:ascii="Times New Roman" w:hAnsi="Times New Roman"/>
          <w:bCs/>
          <w:iCs/>
          <w:sz w:val="24"/>
          <w:szCs w:val="24"/>
        </w:rPr>
      </w:pPr>
    </w:p>
    <w:p w:rsidR="007D1CB4" w:rsidRDefault="007D1CB4" w:rsidP="00DD37A7">
      <w:pPr>
        <w:jc w:val="both"/>
        <w:rPr>
          <w:rFonts w:ascii="Times New Roman" w:hAnsi="Times New Roman" w:cs="Times New Roman"/>
          <w:sz w:val="24"/>
          <w:szCs w:val="24"/>
          <w:highlight w:val="yellow"/>
        </w:rPr>
      </w:pPr>
    </w:p>
    <w:p w:rsidR="00C07D60" w:rsidRDefault="00C07D60" w:rsidP="00DD37A7">
      <w:pPr>
        <w:jc w:val="both"/>
        <w:rPr>
          <w:rFonts w:ascii="Times New Roman" w:hAnsi="Times New Roman" w:cs="Times New Roman"/>
          <w:sz w:val="24"/>
          <w:szCs w:val="24"/>
          <w:highlight w:val="yellow"/>
        </w:rPr>
      </w:pPr>
    </w:p>
    <w:p w:rsidR="00C07D60" w:rsidRDefault="00C07D60" w:rsidP="00DD37A7">
      <w:pPr>
        <w:jc w:val="both"/>
        <w:rPr>
          <w:rFonts w:ascii="Times New Roman" w:hAnsi="Times New Roman" w:cs="Times New Roman"/>
          <w:sz w:val="24"/>
          <w:szCs w:val="24"/>
          <w:highlight w:val="yellow"/>
        </w:rPr>
      </w:pPr>
    </w:p>
    <w:p w:rsidR="00C07D60" w:rsidRDefault="00C07D60" w:rsidP="00DD37A7">
      <w:pPr>
        <w:jc w:val="both"/>
        <w:rPr>
          <w:rFonts w:ascii="Times New Roman" w:hAnsi="Times New Roman" w:cs="Times New Roman"/>
          <w:sz w:val="24"/>
          <w:szCs w:val="24"/>
          <w:highlight w:val="yellow"/>
        </w:rPr>
      </w:pPr>
    </w:p>
    <w:p w:rsidR="00C07D60" w:rsidRDefault="00C07D60" w:rsidP="00DD37A7">
      <w:pPr>
        <w:jc w:val="both"/>
        <w:rPr>
          <w:rFonts w:ascii="Times New Roman" w:hAnsi="Times New Roman" w:cs="Times New Roman"/>
          <w:sz w:val="24"/>
          <w:szCs w:val="24"/>
          <w:highlight w:val="yellow"/>
        </w:rPr>
      </w:pPr>
    </w:p>
    <w:p w:rsidR="00C07D60" w:rsidRDefault="00C07D60" w:rsidP="00DD37A7">
      <w:pPr>
        <w:jc w:val="both"/>
        <w:rPr>
          <w:rFonts w:ascii="Times New Roman" w:hAnsi="Times New Roman" w:cs="Times New Roman"/>
          <w:sz w:val="24"/>
          <w:szCs w:val="24"/>
          <w:highlight w:val="yellow"/>
        </w:rPr>
      </w:pPr>
    </w:p>
    <w:p w:rsidR="00C07D60" w:rsidRDefault="00C07D60" w:rsidP="00DD37A7">
      <w:pPr>
        <w:jc w:val="both"/>
        <w:rPr>
          <w:rFonts w:ascii="Times New Roman" w:hAnsi="Times New Roman" w:cs="Times New Roman"/>
          <w:sz w:val="24"/>
          <w:szCs w:val="24"/>
          <w:highlight w:val="yellow"/>
        </w:rPr>
      </w:pPr>
    </w:p>
    <w:p w:rsidR="00C07D60" w:rsidRDefault="00C07D60" w:rsidP="00DD37A7">
      <w:pPr>
        <w:jc w:val="both"/>
        <w:rPr>
          <w:rFonts w:ascii="Times New Roman" w:hAnsi="Times New Roman" w:cs="Times New Roman"/>
          <w:sz w:val="24"/>
          <w:szCs w:val="24"/>
          <w:highlight w:val="yellow"/>
        </w:rPr>
      </w:pPr>
    </w:p>
    <w:p w:rsidR="00C07D60" w:rsidRDefault="00C07D60" w:rsidP="00DD37A7">
      <w:pPr>
        <w:jc w:val="both"/>
        <w:rPr>
          <w:rFonts w:ascii="Times New Roman" w:hAnsi="Times New Roman" w:cs="Times New Roman"/>
          <w:sz w:val="24"/>
          <w:szCs w:val="24"/>
          <w:highlight w:val="yellow"/>
        </w:rPr>
      </w:pPr>
    </w:p>
    <w:p w:rsidR="00C07D60" w:rsidRDefault="00C07D60" w:rsidP="00DD37A7">
      <w:pPr>
        <w:jc w:val="both"/>
        <w:rPr>
          <w:rFonts w:ascii="Times New Roman" w:hAnsi="Times New Roman" w:cs="Times New Roman"/>
          <w:sz w:val="24"/>
          <w:szCs w:val="24"/>
          <w:highlight w:val="yellow"/>
        </w:rPr>
      </w:pPr>
    </w:p>
    <w:tbl>
      <w:tblPr>
        <w:tblW w:w="17130" w:type="dxa"/>
        <w:tblCellMar>
          <w:left w:w="70" w:type="dxa"/>
          <w:right w:w="70" w:type="dxa"/>
        </w:tblCellMar>
        <w:tblLook w:val="04A0" w:firstRow="1" w:lastRow="0" w:firstColumn="1" w:lastColumn="0" w:noHBand="0" w:noVBand="1"/>
      </w:tblPr>
      <w:tblGrid>
        <w:gridCol w:w="4280"/>
        <w:gridCol w:w="1490"/>
        <w:gridCol w:w="1160"/>
        <w:gridCol w:w="1020"/>
        <w:gridCol w:w="1020"/>
        <w:gridCol w:w="1020"/>
        <w:gridCol w:w="1020"/>
        <w:gridCol w:w="1020"/>
        <w:gridCol w:w="1020"/>
        <w:gridCol w:w="1020"/>
        <w:gridCol w:w="1020"/>
        <w:gridCol w:w="1020"/>
        <w:gridCol w:w="1020"/>
      </w:tblGrid>
      <w:tr w:rsidR="001068A5" w:rsidRPr="001068A5" w:rsidTr="00AF73DF">
        <w:trPr>
          <w:trHeight w:val="880"/>
        </w:trPr>
        <w:tc>
          <w:tcPr>
            <w:tcW w:w="4280" w:type="dxa"/>
            <w:tcBorders>
              <w:top w:val="single" w:sz="8" w:space="0" w:color="auto"/>
              <w:left w:val="single" w:sz="8" w:space="0" w:color="auto"/>
              <w:bottom w:val="single" w:sz="8"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sz w:val="24"/>
                <w:szCs w:val="24"/>
                <w:lang w:eastAsia="sk-SK"/>
              </w:rPr>
            </w:pPr>
            <w:r w:rsidRPr="001068A5">
              <w:rPr>
                <w:rFonts w:ascii="Calibri" w:eastAsia="Times New Roman" w:hAnsi="Calibri" w:cs="Calibri"/>
                <w:b/>
                <w:bCs/>
                <w:color w:val="000000"/>
                <w:sz w:val="24"/>
                <w:szCs w:val="24"/>
                <w:lang w:eastAsia="sk-SK"/>
              </w:rPr>
              <w:t>Organizácia / Téma</w:t>
            </w:r>
          </w:p>
        </w:tc>
        <w:tc>
          <w:tcPr>
            <w:tcW w:w="14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Finančná zodpovednosť spotrebiteľov</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Calibri" w:eastAsia="Times New Roman" w:hAnsi="Calibri" w:cs="Calibri"/>
                <w:color w:val="000000"/>
                <w:lang w:eastAsia="sk-SK"/>
              </w:rPr>
            </w:pPr>
            <w:r w:rsidRPr="001068A5">
              <w:rPr>
                <w:rFonts w:ascii="Calibri" w:eastAsia="Times New Roman" w:hAnsi="Calibri" w:cs="Calibri"/>
                <w:noProof/>
                <w:color w:val="000000"/>
                <w:lang w:eastAsia="sk-SK"/>
              </w:rPr>
              <w:drawing>
                <wp:anchor distT="0" distB="0" distL="114300" distR="114300" simplePos="0" relativeHeight="251659264" behindDoc="0" locked="0" layoutInCell="1" allowOverlap="1">
                  <wp:simplePos x="0" y="0"/>
                  <wp:positionH relativeFrom="column">
                    <wp:posOffset>126365</wp:posOffset>
                  </wp:positionH>
                  <wp:positionV relativeFrom="paragraph">
                    <wp:posOffset>-544830</wp:posOffset>
                  </wp:positionV>
                  <wp:extent cx="6094095" cy="6085840"/>
                  <wp:effectExtent l="0" t="0" r="1905" b="10160"/>
                  <wp:wrapNone/>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20"/>
            </w:tblGrid>
            <w:tr w:rsidR="001068A5" w:rsidRPr="001068A5">
              <w:trPr>
                <w:trHeight w:val="880"/>
                <w:tblCellSpacing w:w="0" w:type="dxa"/>
              </w:trPr>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Calibri" w:eastAsia="Times New Roman" w:hAnsi="Calibri" w:cs="Calibri"/>
                      <w:color w:val="000000"/>
                      <w:lang w:eastAsia="sk-SK"/>
                    </w:rPr>
                  </w:pPr>
                </w:p>
              </w:tc>
            </w:tr>
          </w:tbl>
          <w:p w:rsidR="001068A5" w:rsidRPr="001068A5" w:rsidRDefault="001068A5" w:rsidP="001068A5">
            <w:pPr>
              <w:spacing w:after="0" w:line="240" w:lineRule="auto"/>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Nadácia pre deti Slovenska</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67%</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Nadácia Slovenskej sporiteľne</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17%</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Slovenská banková asociácia</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17%</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 xml:space="preserve">OVB </w:t>
            </w:r>
            <w:proofErr w:type="spellStart"/>
            <w:r w:rsidRPr="001068A5">
              <w:rPr>
                <w:rFonts w:ascii="Calibri" w:eastAsia="Times New Roman" w:hAnsi="Calibri" w:cs="Calibri"/>
                <w:b/>
                <w:bCs/>
                <w:color w:val="000000"/>
                <w:lang w:eastAsia="sk-SK"/>
              </w:rPr>
              <w:t>Allfinanz</w:t>
            </w:r>
            <w:proofErr w:type="spellEnd"/>
            <w:r w:rsidRPr="001068A5">
              <w:rPr>
                <w:rFonts w:ascii="Calibri" w:eastAsia="Times New Roman" w:hAnsi="Calibri" w:cs="Calibri"/>
                <w:b/>
                <w:bCs/>
                <w:color w:val="000000"/>
                <w:lang w:eastAsia="sk-SK"/>
              </w:rPr>
              <w:t xml:space="preserve"> Slovensko a. s. </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B33962" w:rsidP="001068A5">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50</w:t>
            </w:r>
            <w:r w:rsidR="001068A5" w:rsidRPr="001068A5">
              <w:rPr>
                <w:rFonts w:ascii="Calibri" w:eastAsia="Times New Roman" w:hAnsi="Calibri" w:cs="Calibri"/>
                <w:b/>
                <w:bCs/>
                <w:color w:val="000000"/>
                <w:lang w:eastAsia="sk-SK"/>
              </w:rPr>
              <w:t>%</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roofErr w:type="spellStart"/>
            <w:r w:rsidRPr="001068A5">
              <w:rPr>
                <w:rFonts w:ascii="Calibri" w:eastAsia="Times New Roman" w:hAnsi="Calibri" w:cs="Calibri"/>
                <w:b/>
                <w:bCs/>
                <w:color w:val="000000"/>
                <w:lang w:eastAsia="sk-SK"/>
              </w:rPr>
              <w:t>Minist</w:t>
            </w:r>
            <w:proofErr w:type="spellEnd"/>
            <w:r w:rsidRPr="001068A5">
              <w:rPr>
                <w:rFonts w:ascii="Calibri" w:eastAsia="Times New Roman" w:hAnsi="Calibri" w:cs="Calibri"/>
                <w:b/>
                <w:bCs/>
                <w:color w:val="000000"/>
                <w:lang w:eastAsia="sk-SK"/>
              </w:rPr>
              <w:t>. financií SR.-</w:t>
            </w:r>
            <w:proofErr w:type="spellStart"/>
            <w:r w:rsidRPr="001068A5">
              <w:rPr>
                <w:rFonts w:ascii="Calibri" w:eastAsia="Times New Roman" w:hAnsi="Calibri" w:cs="Calibri"/>
                <w:b/>
                <w:bCs/>
                <w:color w:val="000000"/>
                <w:lang w:eastAsia="sk-SK"/>
              </w:rPr>
              <w:t>Odb.ochrany</w:t>
            </w:r>
            <w:proofErr w:type="spellEnd"/>
            <w:r w:rsidRPr="001068A5">
              <w:rPr>
                <w:rFonts w:ascii="Calibri" w:eastAsia="Times New Roman" w:hAnsi="Calibri" w:cs="Calibri"/>
                <w:b/>
                <w:bCs/>
                <w:color w:val="000000"/>
                <w:lang w:eastAsia="sk-SK"/>
              </w:rPr>
              <w:t xml:space="preserve"> </w:t>
            </w:r>
            <w:proofErr w:type="spellStart"/>
            <w:r w:rsidRPr="001068A5">
              <w:rPr>
                <w:rFonts w:ascii="Calibri" w:eastAsia="Times New Roman" w:hAnsi="Calibri" w:cs="Calibri"/>
                <w:b/>
                <w:bCs/>
                <w:color w:val="000000"/>
                <w:lang w:eastAsia="sk-SK"/>
              </w:rPr>
              <w:t>fin.spotreb</w:t>
            </w:r>
            <w:proofErr w:type="spellEnd"/>
            <w:r w:rsidRPr="001068A5">
              <w:rPr>
                <w:rFonts w:ascii="Calibri" w:eastAsia="Times New Roman" w:hAnsi="Calibri" w:cs="Calibri"/>
                <w:b/>
                <w:bCs/>
                <w:color w:val="000000"/>
                <w:lang w:eastAsia="sk-SK"/>
              </w:rPr>
              <w:t>.</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50%</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NBS-odb</w:t>
            </w:r>
            <w:r>
              <w:rPr>
                <w:rFonts w:ascii="Calibri" w:eastAsia="Times New Roman" w:hAnsi="Calibri" w:cs="Calibri"/>
                <w:b/>
                <w:bCs/>
                <w:color w:val="000000"/>
                <w:lang w:eastAsia="sk-SK"/>
              </w:rPr>
              <w:t>or ochrany slovenských spotrebit</w:t>
            </w:r>
            <w:r w:rsidRPr="001068A5">
              <w:rPr>
                <w:rFonts w:ascii="Calibri" w:eastAsia="Times New Roman" w:hAnsi="Calibri" w:cs="Calibri"/>
                <w:b/>
                <w:bCs/>
                <w:color w:val="000000"/>
                <w:lang w:eastAsia="sk-SK"/>
              </w:rPr>
              <w:t>eľ.</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42%</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Metodic</w:t>
            </w:r>
            <w:r w:rsidRPr="001068A5">
              <w:rPr>
                <w:rFonts w:ascii="Calibri" w:eastAsia="Times New Roman" w:hAnsi="Calibri" w:cs="Calibri"/>
                <w:b/>
                <w:bCs/>
                <w:color w:val="000000"/>
                <w:lang w:eastAsia="sk-SK"/>
              </w:rPr>
              <w:t>ko-pedagogické centrum</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50%</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color w:val="000000"/>
                <w:lang w:eastAsia="sk-SK"/>
              </w:rPr>
            </w:pPr>
            <w:r w:rsidRPr="001068A5">
              <w:rPr>
                <w:rFonts w:ascii="Calibri" w:eastAsia="Times New Roman" w:hAnsi="Calibri" w:cs="Calibri"/>
                <w:color w:val="000000"/>
                <w:lang w:eastAsia="sk-SK"/>
              </w:rPr>
              <w:t>Finančné riaditeľstvo SR</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color w:val="000000"/>
                <w:lang w:eastAsia="sk-SK"/>
              </w:rPr>
            </w:pPr>
            <w:r w:rsidRPr="001068A5">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CKÚ OLAF ÚV SR</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25%</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Odbor prevencie korupcie ÚV SR</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17%</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color w:val="000000"/>
                <w:lang w:eastAsia="sk-SK"/>
              </w:rPr>
            </w:pPr>
            <w:r w:rsidRPr="001068A5">
              <w:rPr>
                <w:rFonts w:ascii="Calibri" w:eastAsia="Times New Roman" w:hAnsi="Calibri" w:cs="Calibri"/>
                <w:color w:val="000000"/>
                <w:lang w:eastAsia="sk-SK"/>
              </w:rPr>
              <w:t>Štátna školská inšpekcia</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color w:val="000000"/>
                <w:lang w:eastAsia="sk-SK"/>
              </w:rPr>
            </w:pPr>
            <w:r w:rsidRPr="001068A5">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 xml:space="preserve">Ministerstvo hospodárstva SR </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8%</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JA Slovensko</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92%</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color w:val="000000"/>
                <w:lang w:eastAsia="sk-SK"/>
              </w:rPr>
            </w:pPr>
            <w:r w:rsidRPr="001068A5">
              <w:rPr>
                <w:rFonts w:ascii="Calibri" w:eastAsia="Times New Roman" w:hAnsi="Calibri" w:cs="Calibri"/>
                <w:color w:val="000000"/>
                <w:lang w:eastAsia="sk-SK"/>
              </w:rPr>
              <w:t xml:space="preserve"> Úrad </w:t>
            </w:r>
            <w:proofErr w:type="spellStart"/>
            <w:r w:rsidRPr="001068A5">
              <w:rPr>
                <w:rFonts w:ascii="Calibri" w:eastAsia="Times New Roman" w:hAnsi="Calibri" w:cs="Calibri"/>
                <w:color w:val="000000"/>
                <w:lang w:eastAsia="sk-SK"/>
              </w:rPr>
              <w:t>splnomoc</w:t>
            </w:r>
            <w:proofErr w:type="spellEnd"/>
            <w:r w:rsidRPr="001068A5">
              <w:rPr>
                <w:rFonts w:ascii="Calibri" w:eastAsia="Times New Roman" w:hAnsi="Calibri" w:cs="Calibri"/>
                <w:color w:val="000000"/>
                <w:lang w:eastAsia="sk-SK"/>
              </w:rPr>
              <w:t xml:space="preserve">. vlády SR pre </w:t>
            </w:r>
            <w:proofErr w:type="spellStart"/>
            <w:r w:rsidRPr="001068A5">
              <w:rPr>
                <w:rFonts w:ascii="Calibri" w:eastAsia="Times New Roman" w:hAnsi="Calibri" w:cs="Calibri"/>
                <w:color w:val="000000"/>
                <w:lang w:eastAsia="sk-SK"/>
              </w:rPr>
              <w:t>róm</w:t>
            </w:r>
            <w:proofErr w:type="spellEnd"/>
            <w:r w:rsidRPr="001068A5">
              <w:rPr>
                <w:rFonts w:ascii="Calibri" w:eastAsia="Times New Roman" w:hAnsi="Calibri" w:cs="Calibri"/>
                <w:color w:val="000000"/>
                <w:lang w:eastAsia="sk-SK"/>
              </w:rPr>
              <w:t>. komunity</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color w:val="000000"/>
                <w:lang w:eastAsia="sk-SK"/>
              </w:rPr>
            </w:pPr>
            <w:r w:rsidRPr="001068A5">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color w:val="000000"/>
                <w:lang w:eastAsia="sk-SK"/>
              </w:rPr>
            </w:pPr>
            <w:r w:rsidRPr="001068A5">
              <w:rPr>
                <w:rFonts w:ascii="Calibri" w:eastAsia="Times New Roman" w:hAnsi="Calibri" w:cs="Calibri"/>
                <w:color w:val="000000"/>
                <w:lang w:eastAsia="sk-SK"/>
              </w:rPr>
              <w:t>NÚCEM</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color w:val="000000"/>
                <w:lang w:eastAsia="sk-SK"/>
              </w:rPr>
            </w:pPr>
            <w:r w:rsidRPr="001068A5">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color w:val="000000"/>
                <w:lang w:eastAsia="sk-SK"/>
              </w:rPr>
            </w:pPr>
            <w:r w:rsidRPr="001068A5">
              <w:rPr>
                <w:rFonts w:ascii="Calibri" w:eastAsia="Times New Roman" w:hAnsi="Calibri" w:cs="Calibri"/>
                <w:color w:val="000000"/>
                <w:lang w:eastAsia="sk-SK"/>
              </w:rPr>
              <w:t>SLASPO - Slovenská asociácia poisťovní</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color w:val="000000"/>
                <w:lang w:eastAsia="sk-SK"/>
              </w:rPr>
            </w:pPr>
            <w:r w:rsidRPr="001068A5">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ŠIOV - FG a SCCF</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25%</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nil"/>
              <w:left w:val="single" w:sz="8" w:space="0" w:color="auto"/>
              <w:bottom w:val="nil"/>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EUBA - Ekonomická Univerzita</w:t>
            </w:r>
          </w:p>
        </w:tc>
        <w:tc>
          <w:tcPr>
            <w:tcW w:w="1490" w:type="dxa"/>
            <w:tcBorders>
              <w:top w:val="nil"/>
              <w:left w:val="single" w:sz="8" w:space="0" w:color="auto"/>
              <w:bottom w:val="single" w:sz="4"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33%</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r w:rsidR="001068A5" w:rsidRPr="001068A5" w:rsidTr="00AF73DF">
        <w:trPr>
          <w:trHeight w:val="379"/>
        </w:trPr>
        <w:tc>
          <w:tcPr>
            <w:tcW w:w="4280" w:type="dxa"/>
            <w:tcBorders>
              <w:top w:val="single" w:sz="4" w:space="0" w:color="auto"/>
              <w:left w:val="single" w:sz="8" w:space="0" w:color="auto"/>
              <w:bottom w:val="single" w:sz="8" w:space="0" w:color="auto"/>
              <w:right w:val="nil"/>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ŠPÚ - Štátny pedagogický ústav</w:t>
            </w:r>
          </w:p>
        </w:tc>
        <w:tc>
          <w:tcPr>
            <w:tcW w:w="1490" w:type="dxa"/>
            <w:tcBorders>
              <w:top w:val="nil"/>
              <w:left w:val="single" w:sz="8" w:space="0" w:color="auto"/>
              <w:bottom w:val="single" w:sz="8" w:space="0" w:color="auto"/>
              <w:right w:val="single" w:sz="8" w:space="0" w:color="auto"/>
            </w:tcBorders>
            <w:shd w:val="clear" w:color="auto" w:fill="auto"/>
            <w:noWrap/>
            <w:vAlign w:val="center"/>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r w:rsidRPr="001068A5">
              <w:rPr>
                <w:rFonts w:ascii="Calibri" w:eastAsia="Times New Roman" w:hAnsi="Calibri" w:cs="Calibri"/>
                <w:b/>
                <w:bCs/>
                <w:color w:val="000000"/>
                <w:lang w:eastAsia="sk-SK"/>
              </w:rPr>
              <w:t>67%</w:t>
            </w:r>
          </w:p>
        </w:tc>
        <w:tc>
          <w:tcPr>
            <w:tcW w:w="116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068A5" w:rsidRPr="001068A5" w:rsidRDefault="001068A5" w:rsidP="001068A5">
            <w:pPr>
              <w:spacing w:after="0" w:line="240" w:lineRule="auto"/>
              <w:rPr>
                <w:rFonts w:ascii="Times New Roman" w:eastAsia="Times New Roman" w:hAnsi="Times New Roman" w:cs="Times New Roman"/>
                <w:sz w:val="20"/>
                <w:szCs w:val="20"/>
                <w:lang w:eastAsia="sk-SK"/>
              </w:rPr>
            </w:pPr>
          </w:p>
        </w:tc>
      </w:tr>
    </w:tbl>
    <w:p w:rsidR="001A19CC" w:rsidRPr="0058304E" w:rsidRDefault="005822ED" w:rsidP="0009411B">
      <w:pPr>
        <w:spacing w:after="120" w:line="360" w:lineRule="auto"/>
        <w:jc w:val="both"/>
        <w:rPr>
          <w:rFonts w:ascii="Times New Roman" w:hAnsi="Times New Roman" w:cs="Times New Roman"/>
          <w:sz w:val="24"/>
          <w:szCs w:val="24"/>
          <w:lang w:eastAsia="sk-SK"/>
        </w:rPr>
      </w:pPr>
      <w:r w:rsidRPr="00883F14">
        <w:rPr>
          <w:rFonts w:ascii="Times New Roman" w:hAnsi="Times New Roman" w:cs="Times New Roman"/>
          <w:sz w:val="24"/>
          <w:szCs w:val="24"/>
        </w:rPr>
        <w:lastRenderedPageBreak/>
        <w:t>Z</w:t>
      </w:r>
      <w:r w:rsidR="00242D10" w:rsidRPr="00883F14">
        <w:rPr>
          <w:rFonts w:ascii="Times New Roman" w:hAnsi="Times New Roman" w:cs="Times New Roman"/>
          <w:sz w:val="24"/>
          <w:szCs w:val="24"/>
        </w:rPr>
        <w:t> tabuľky</w:t>
      </w:r>
      <w:r w:rsidR="00242D10">
        <w:rPr>
          <w:rFonts w:ascii="Times New Roman" w:hAnsi="Times New Roman" w:cs="Times New Roman"/>
          <w:sz w:val="24"/>
          <w:szCs w:val="24"/>
        </w:rPr>
        <w:t xml:space="preserve"> </w:t>
      </w:r>
      <w:r w:rsidRPr="0058304E">
        <w:rPr>
          <w:rFonts w:ascii="Times New Roman" w:hAnsi="Times New Roman" w:cs="Times New Roman"/>
          <w:sz w:val="24"/>
          <w:szCs w:val="24"/>
        </w:rPr>
        <w:t xml:space="preserve">vyplýva, že </w:t>
      </w:r>
      <w:r w:rsidRPr="0058304E">
        <w:rPr>
          <w:rFonts w:ascii="Times New Roman" w:hAnsi="Times New Roman" w:cs="Times New Roman"/>
          <w:b/>
          <w:sz w:val="24"/>
          <w:szCs w:val="24"/>
          <w:lang w:eastAsia="sk-SK"/>
        </w:rPr>
        <w:t xml:space="preserve">Junior </w:t>
      </w:r>
      <w:proofErr w:type="spellStart"/>
      <w:r w:rsidRPr="0058304E">
        <w:rPr>
          <w:rFonts w:ascii="Times New Roman" w:hAnsi="Times New Roman" w:cs="Times New Roman"/>
          <w:b/>
          <w:sz w:val="24"/>
          <w:szCs w:val="24"/>
          <w:lang w:eastAsia="sk-SK"/>
        </w:rPr>
        <w:t>Achievement</w:t>
      </w:r>
      <w:proofErr w:type="spellEnd"/>
      <w:r w:rsidRPr="0058304E">
        <w:rPr>
          <w:rFonts w:ascii="Times New Roman" w:hAnsi="Times New Roman" w:cs="Times New Roman"/>
          <w:b/>
          <w:sz w:val="24"/>
          <w:szCs w:val="24"/>
          <w:lang w:eastAsia="sk-SK"/>
        </w:rPr>
        <w:t xml:space="preserve"> Slovensko, n. o. </w:t>
      </w:r>
      <w:r w:rsidRPr="0058304E">
        <w:rPr>
          <w:rFonts w:ascii="Times New Roman" w:hAnsi="Times New Roman" w:cs="Times New Roman"/>
          <w:sz w:val="24"/>
          <w:szCs w:val="24"/>
          <w:lang w:eastAsia="sk-SK"/>
        </w:rPr>
        <w:t>sa uvedenej téme</w:t>
      </w:r>
      <w:r w:rsidR="001A19CC" w:rsidRPr="0058304E">
        <w:rPr>
          <w:rFonts w:ascii="Times New Roman" w:hAnsi="Times New Roman" w:cs="Times New Roman"/>
          <w:sz w:val="24"/>
          <w:szCs w:val="24"/>
          <w:lang w:eastAsia="sk-SK"/>
        </w:rPr>
        <w:t xml:space="preserve"> a čiastočným kompetenciám </w:t>
      </w:r>
      <w:r w:rsidRPr="0058304E">
        <w:rPr>
          <w:rFonts w:ascii="Times New Roman" w:hAnsi="Times New Roman" w:cs="Times New Roman"/>
          <w:sz w:val="24"/>
          <w:szCs w:val="24"/>
          <w:lang w:eastAsia="sk-SK"/>
        </w:rPr>
        <w:t>venuje na 92</w:t>
      </w:r>
      <w:r w:rsidR="001A19CC" w:rsidRPr="0058304E">
        <w:rPr>
          <w:rFonts w:ascii="Times New Roman" w:hAnsi="Times New Roman" w:cs="Times New Roman"/>
          <w:sz w:val="24"/>
          <w:szCs w:val="24"/>
          <w:lang w:eastAsia="sk-SK"/>
        </w:rPr>
        <w:t xml:space="preserve"> </w:t>
      </w:r>
      <w:r w:rsidRPr="0058304E">
        <w:rPr>
          <w:rFonts w:ascii="Times New Roman" w:hAnsi="Times New Roman" w:cs="Times New Roman"/>
          <w:sz w:val="24"/>
          <w:szCs w:val="24"/>
          <w:lang w:eastAsia="sk-SK"/>
        </w:rPr>
        <w:t>%</w:t>
      </w:r>
      <w:r w:rsidR="001A19CC" w:rsidRPr="0058304E">
        <w:rPr>
          <w:rFonts w:ascii="Times New Roman" w:hAnsi="Times New Roman" w:cs="Times New Roman"/>
          <w:sz w:val="24"/>
          <w:szCs w:val="24"/>
          <w:lang w:eastAsia="sk-SK"/>
        </w:rPr>
        <w:t>. Teda nepokrýva len prvú úroveň v 3. čiastkovej kompetencii.</w:t>
      </w:r>
    </w:p>
    <w:p w:rsidR="00ED5A8C" w:rsidRPr="0058304E" w:rsidRDefault="001A19CC" w:rsidP="0009411B">
      <w:pPr>
        <w:spacing w:after="120" w:line="360" w:lineRule="auto"/>
        <w:jc w:val="both"/>
        <w:rPr>
          <w:rFonts w:ascii="Times New Roman" w:hAnsi="Times New Roman" w:cs="Times New Roman"/>
          <w:sz w:val="24"/>
          <w:szCs w:val="24"/>
          <w:lang w:eastAsia="sk-SK"/>
        </w:rPr>
      </w:pPr>
      <w:r w:rsidRPr="0058304E">
        <w:rPr>
          <w:rFonts w:ascii="Times New Roman" w:hAnsi="Times New Roman" w:cs="Times New Roman"/>
          <w:b/>
          <w:sz w:val="24"/>
          <w:szCs w:val="24"/>
          <w:lang w:eastAsia="sk-SK"/>
        </w:rPr>
        <w:t>Nadácia pre deti Slovenska</w:t>
      </w:r>
      <w:r w:rsidRPr="0058304E">
        <w:rPr>
          <w:rFonts w:ascii="Times New Roman" w:hAnsi="Times New Roman" w:cs="Times New Roman"/>
          <w:sz w:val="24"/>
          <w:szCs w:val="24"/>
          <w:lang w:eastAsia="sk-SK"/>
        </w:rPr>
        <w:t xml:space="preserve"> a </w:t>
      </w:r>
      <w:r w:rsidRPr="0058304E">
        <w:rPr>
          <w:rFonts w:ascii="Times New Roman" w:hAnsi="Times New Roman" w:cs="Times New Roman"/>
          <w:b/>
          <w:sz w:val="24"/>
          <w:szCs w:val="24"/>
          <w:lang w:eastAsia="sk-SK"/>
        </w:rPr>
        <w:t>Štátny pedagogický ústav (ŠPÚ)</w:t>
      </w:r>
      <w:r w:rsidR="0058304E" w:rsidRPr="0058304E">
        <w:rPr>
          <w:rFonts w:ascii="Times New Roman" w:hAnsi="Times New Roman" w:cs="Times New Roman"/>
          <w:sz w:val="24"/>
          <w:szCs w:val="24"/>
          <w:lang w:eastAsia="sk-SK"/>
        </w:rPr>
        <w:t xml:space="preserve"> uvedenú tému spĺňajú celkom </w:t>
      </w:r>
      <w:r w:rsidRPr="0058304E">
        <w:rPr>
          <w:rFonts w:ascii="Times New Roman" w:hAnsi="Times New Roman" w:cs="Times New Roman"/>
          <w:sz w:val="24"/>
          <w:szCs w:val="24"/>
          <w:lang w:eastAsia="sk-SK"/>
        </w:rPr>
        <w:t xml:space="preserve"> na 67 %. To znamená, že </w:t>
      </w:r>
      <w:r w:rsidRPr="0058304E">
        <w:rPr>
          <w:rFonts w:ascii="Times New Roman" w:hAnsi="Times New Roman" w:cs="Times New Roman"/>
          <w:b/>
          <w:sz w:val="24"/>
          <w:szCs w:val="24"/>
          <w:lang w:eastAsia="sk-SK"/>
        </w:rPr>
        <w:t>Nadácia</w:t>
      </w:r>
      <w:r w:rsidRPr="0058304E">
        <w:rPr>
          <w:rFonts w:ascii="Times New Roman" w:hAnsi="Times New Roman" w:cs="Times New Roman"/>
          <w:sz w:val="24"/>
          <w:szCs w:val="24"/>
          <w:lang w:eastAsia="sk-SK"/>
        </w:rPr>
        <w:t xml:space="preserve"> sa takisto nevenuje v 3. čiastkovej kompetencii prvej úrovni</w:t>
      </w:r>
      <w:r w:rsidR="0058304E" w:rsidRPr="0058304E">
        <w:rPr>
          <w:rFonts w:ascii="Times New Roman" w:hAnsi="Times New Roman" w:cs="Times New Roman"/>
          <w:sz w:val="24"/>
          <w:szCs w:val="24"/>
          <w:lang w:eastAsia="sk-SK"/>
        </w:rPr>
        <w:t>, čo predstavuje prvý stupeň základnej školy</w:t>
      </w:r>
      <w:r w:rsidRPr="0058304E">
        <w:rPr>
          <w:rFonts w:ascii="Times New Roman" w:hAnsi="Times New Roman" w:cs="Times New Roman"/>
          <w:sz w:val="24"/>
          <w:szCs w:val="24"/>
          <w:lang w:eastAsia="sk-SK"/>
        </w:rPr>
        <w:t xml:space="preserve"> a vôbec sa nezaoberá 4. čiastkovou kompetenciou.</w:t>
      </w:r>
    </w:p>
    <w:p w:rsidR="00242D10" w:rsidRDefault="00242D10" w:rsidP="0009411B">
      <w:pPr>
        <w:spacing w:after="120" w:line="360" w:lineRule="auto"/>
        <w:jc w:val="both"/>
        <w:rPr>
          <w:rFonts w:ascii="Times New Roman" w:hAnsi="Times New Roman" w:cs="Times New Roman"/>
          <w:b/>
          <w:sz w:val="24"/>
          <w:szCs w:val="24"/>
          <w:lang w:eastAsia="sk-SK"/>
        </w:rPr>
      </w:pPr>
    </w:p>
    <w:p w:rsidR="001A19CC" w:rsidRPr="0058304E" w:rsidRDefault="001A19CC" w:rsidP="0009411B">
      <w:pPr>
        <w:spacing w:after="120" w:line="360" w:lineRule="auto"/>
        <w:jc w:val="both"/>
        <w:rPr>
          <w:rFonts w:ascii="Times New Roman" w:hAnsi="Times New Roman" w:cs="Times New Roman"/>
          <w:sz w:val="24"/>
          <w:szCs w:val="24"/>
          <w:lang w:eastAsia="sk-SK"/>
        </w:rPr>
      </w:pPr>
      <w:r w:rsidRPr="0058304E">
        <w:rPr>
          <w:rFonts w:ascii="Times New Roman" w:hAnsi="Times New Roman" w:cs="Times New Roman"/>
          <w:b/>
          <w:sz w:val="24"/>
          <w:szCs w:val="24"/>
          <w:lang w:eastAsia="sk-SK"/>
        </w:rPr>
        <w:t>ŠPÚ</w:t>
      </w:r>
      <w:r w:rsidRPr="0058304E">
        <w:rPr>
          <w:rFonts w:ascii="Times New Roman" w:hAnsi="Times New Roman" w:cs="Times New Roman"/>
          <w:sz w:val="24"/>
          <w:szCs w:val="24"/>
          <w:lang w:eastAsia="sk-SK"/>
        </w:rPr>
        <w:t xml:space="preserve"> sa vo všetkých štyroch kompetenciách nevenuje tretej úrovni, teda strednej škole všeobecne.</w:t>
      </w:r>
    </w:p>
    <w:p w:rsidR="0058304E" w:rsidRDefault="0058304E" w:rsidP="0009411B">
      <w:pPr>
        <w:spacing w:after="120" w:line="360" w:lineRule="auto"/>
        <w:jc w:val="both"/>
        <w:rPr>
          <w:rFonts w:ascii="Times New Roman" w:hAnsi="Times New Roman" w:cs="Times New Roman"/>
          <w:sz w:val="24"/>
          <w:szCs w:val="24"/>
          <w:lang w:eastAsia="sk-SK"/>
        </w:rPr>
      </w:pPr>
      <w:r w:rsidRPr="0058304E">
        <w:rPr>
          <w:rFonts w:ascii="Times New Roman" w:hAnsi="Times New Roman" w:cs="Times New Roman"/>
          <w:b/>
          <w:sz w:val="24"/>
          <w:szCs w:val="24"/>
          <w:lang w:eastAsia="sk-SK"/>
        </w:rPr>
        <w:t>Metodicko-pedagogické centrum (MPC)</w:t>
      </w:r>
      <w:r w:rsidR="003E1C31">
        <w:rPr>
          <w:rFonts w:ascii="Times New Roman" w:hAnsi="Times New Roman" w:cs="Times New Roman"/>
          <w:b/>
          <w:sz w:val="24"/>
          <w:szCs w:val="24"/>
          <w:lang w:eastAsia="sk-SK"/>
        </w:rPr>
        <w:t xml:space="preserve">, </w:t>
      </w:r>
      <w:r w:rsidR="003E1C31" w:rsidRPr="003E1C31">
        <w:rPr>
          <w:rFonts w:ascii="Times New Roman" w:eastAsia="Times New Roman" w:hAnsi="Times New Roman" w:cs="Times New Roman"/>
          <w:b/>
          <w:bCs/>
          <w:color w:val="000000"/>
          <w:sz w:val="24"/>
          <w:szCs w:val="24"/>
          <w:lang w:eastAsia="sk-SK"/>
        </w:rPr>
        <w:t xml:space="preserve">OVB </w:t>
      </w:r>
      <w:proofErr w:type="spellStart"/>
      <w:r w:rsidR="003E1C31" w:rsidRPr="003E1C31">
        <w:rPr>
          <w:rFonts w:ascii="Times New Roman" w:eastAsia="Times New Roman" w:hAnsi="Times New Roman" w:cs="Times New Roman"/>
          <w:b/>
          <w:bCs/>
          <w:color w:val="000000"/>
          <w:sz w:val="24"/>
          <w:szCs w:val="24"/>
          <w:lang w:eastAsia="sk-SK"/>
        </w:rPr>
        <w:t>Allfinanz</w:t>
      </w:r>
      <w:proofErr w:type="spellEnd"/>
      <w:r w:rsidR="003E1C31" w:rsidRPr="003E1C31">
        <w:rPr>
          <w:rFonts w:ascii="Times New Roman" w:eastAsia="Times New Roman" w:hAnsi="Times New Roman" w:cs="Times New Roman"/>
          <w:b/>
          <w:bCs/>
          <w:color w:val="000000"/>
          <w:sz w:val="24"/>
          <w:szCs w:val="24"/>
          <w:lang w:eastAsia="sk-SK"/>
        </w:rPr>
        <w:t xml:space="preserve"> Slovensko a. s.</w:t>
      </w:r>
      <w:r w:rsidR="003E1C31" w:rsidRPr="001068A5">
        <w:rPr>
          <w:rFonts w:ascii="Calibri" w:eastAsia="Times New Roman" w:hAnsi="Calibri" w:cs="Calibri"/>
          <w:b/>
          <w:bCs/>
          <w:color w:val="000000"/>
          <w:lang w:eastAsia="sk-SK"/>
        </w:rPr>
        <w:t xml:space="preserve"> </w:t>
      </w:r>
      <w:r w:rsidRPr="0058304E">
        <w:rPr>
          <w:rFonts w:ascii="Times New Roman" w:hAnsi="Times New Roman" w:cs="Times New Roman"/>
          <w:sz w:val="24"/>
          <w:szCs w:val="24"/>
          <w:lang w:eastAsia="sk-SK"/>
        </w:rPr>
        <w:t xml:space="preserve"> a </w:t>
      </w:r>
      <w:r w:rsidRPr="0058304E">
        <w:rPr>
          <w:rFonts w:ascii="Times New Roman" w:hAnsi="Times New Roman" w:cs="Times New Roman"/>
          <w:b/>
          <w:sz w:val="24"/>
          <w:szCs w:val="24"/>
          <w:lang w:eastAsia="sk-SK"/>
        </w:rPr>
        <w:t>Ministerstvo financií Slovenskej republiky (MF SR)</w:t>
      </w:r>
      <w:r w:rsidRPr="0058304E">
        <w:rPr>
          <w:rFonts w:ascii="Times New Roman" w:hAnsi="Times New Roman" w:cs="Times New Roman"/>
          <w:sz w:val="24"/>
          <w:szCs w:val="24"/>
          <w:lang w:eastAsia="sk-SK"/>
        </w:rPr>
        <w:t xml:space="preserve"> prvú tému NŠFG 1.2 </w:t>
      </w:r>
      <w:r>
        <w:rPr>
          <w:rFonts w:ascii="Times New Roman" w:hAnsi="Times New Roman" w:cs="Times New Roman"/>
          <w:sz w:val="24"/>
          <w:szCs w:val="24"/>
          <w:lang w:eastAsia="sk-SK"/>
        </w:rPr>
        <w:t xml:space="preserve">vzdelávajú na 50 %. </w:t>
      </w:r>
    </w:p>
    <w:p w:rsidR="0058304E" w:rsidRDefault="0058304E" w:rsidP="0009411B">
      <w:pPr>
        <w:spacing w:after="120" w:line="360" w:lineRule="auto"/>
        <w:jc w:val="both"/>
        <w:rPr>
          <w:rFonts w:ascii="Times New Roman" w:hAnsi="Times New Roman" w:cs="Times New Roman"/>
          <w:sz w:val="24"/>
          <w:szCs w:val="24"/>
          <w:lang w:eastAsia="sk-SK"/>
        </w:rPr>
      </w:pPr>
      <w:r w:rsidRPr="0058304E">
        <w:rPr>
          <w:rFonts w:ascii="Times New Roman" w:hAnsi="Times New Roman" w:cs="Times New Roman"/>
          <w:b/>
          <w:sz w:val="24"/>
          <w:szCs w:val="24"/>
          <w:lang w:eastAsia="sk-SK"/>
        </w:rPr>
        <w:t>MPC</w:t>
      </w:r>
      <w:r>
        <w:rPr>
          <w:rFonts w:ascii="Times New Roman" w:hAnsi="Times New Roman" w:cs="Times New Roman"/>
          <w:b/>
          <w:sz w:val="24"/>
          <w:szCs w:val="24"/>
          <w:lang w:eastAsia="sk-SK"/>
        </w:rPr>
        <w:t xml:space="preserve"> </w:t>
      </w:r>
      <w:r w:rsidR="00DA6AED" w:rsidRPr="00DA6AED">
        <w:rPr>
          <w:rFonts w:ascii="Times New Roman" w:hAnsi="Times New Roman" w:cs="Times New Roman"/>
          <w:sz w:val="24"/>
          <w:szCs w:val="24"/>
          <w:lang w:eastAsia="sk-SK"/>
        </w:rPr>
        <w:t>sa prvej téme venuje v prvej, druhej a štvrtej čiastkovej kompetencii okrem prvej úrovni, teda prvého stupňa základnej školy. Tretej čiastkovej kompetencii sa nevenuje vôbec.</w:t>
      </w:r>
    </w:p>
    <w:p w:rsidR="00DA6AED" w:rsidRDefault="00DA6AED" w:rsidP="0009411B">
      <w:pPr>
        <w:spacing w:after="120" w:line="360" w:lineRule="auto"/>
        <w:jc w:val="both"/>
        <w:rPr>
          <w:rFonts w:ascii="Times New Roman" w:hAnsi="Times New Roman" w:cs="Times New Roman"/>
          <w:sz w:val="24"/>
          <w:szCs w:val="24"/>
          <w:lang w:eastAsia="sk-SK"/>
        </w:rPr>
      </w:pPr>
      <w:r w:rsidRPr="00DA6AED">
        <w:rPr>
          <w:rFonts w:ascii="Times New Roman" w:hAnsi="Times New Roman" w:cs="Times New Roman"/>
          <w:b/>
          <w:sz w:val="24"/>
          <w:szCs w:val="24"/>
          <w:lang w:eastAsia="sk-SK"/>
        </w:rPr>
        <w:t>MF SR</w:t>
      </w:r>
      <w:r>
        <w:rPr>
          <w:rFonts w:ascii="Times New Roman" w:hAnsi="Times New Roman" w:cs="Times New Roman"/>
          <w:sz w:val="24"/>
          <w:szCs w:val="24"/>
          <w:lang w:eastAsia="sk-SK"/>
        </w:rPr>
        <w:t xml:space="preserve"> sa prvej téme venuje v prvej, druhej a tretej čiastkovej kompetencii v rámci prvej a druhej úrovne, teda v rámci základnej školy. Štvrtou čiastkovou kompetenciou sa nezaoberá.</w:t>
      </w:r>
    </w:p>
    <w:p w:rsidR="00DA6AED" w:rsidRDefault="00DA6AED" w:rsidP="00DD37A7">
      <w:pPr>
        <w:jc w:val="both"/>
        <w:rPr>
          <w:rFonts w:ascii="Times New Roman" w:hAnsi="Times New Roman" w:cs="Times New Roman"/>
          <w:sz w:val="24"/>
          <w:szCs w:val="24"/>
          <w:lang w:eastAsia="sk-SK"/>
        </w:rPr>
      </w:pPr>
    </w:p>
    <w:p w:rsidR="00883F14" w:rsidRDefault="00883F14" w:rsidP="00DD37A7">
      <w:pPr>
        <w:jc w:val="both"/>
        <w:rPr>
          <w:rFonts w:ascii="Times New Roman" w:hAnsi="Times New Roman" w:cs="Times New Roman"/>
          <w:sz w:val="24"/>
          <w:szCs w:val="24"/>
          <w:lang w:eastAsia="sk-SK"/>
        </w:rPr>
      </w:pPr>
    </w:p>
    <w:p w:rsidR="00883F14" w:rsidRDefault="00883F14" w:rsidP="00DD37A7">
      <w:pPr>
        <w:jc w:val="both"/>
        <w:rPr>
          <w:rFonts w:ascii="Times New Roman" w:hAnsi="Times New Roman" w:cs="Times New Roman"/>
          <w:sz w:val="24"/>
          <w:szCs w:val="24"/>
          <w:lang w:eastAsia="sk-SK"/>
        </w:rPr>
      </w:pPr>
    </w:p>
    <w:p w:rsidR="00883F14" w:rsidRDefault="00883F14" w:rsidP="00DD37A7">
      <w:pPr>
        <w:jc w:val="both"/>
        <w:rPr>
          <w:rFonts w:ascii="Times New Roman" w:hAnsi="Times New Roman" w:cs="Times New Roman"/>
          <w:sz w:val="24"/>
          <w:szCs w:val="24"/>
          <w:lang w:eastAsia="sk-SK"/>
        </w:rPr>
      </w:pPr>
    </w:p>
    <w:p w:rsidR="00883F14" w:rsidRDefault="00883F14" w:rsidP="00DD37A7">
      <w:pPr>
        <w:jc w:val="both"/>
        <w:rPr>
          <w:rFonts w:ascii="Times New Roman" w:hAnsi="Times New Roman" w:cs="Times New Roman"/>
          <w:sz w:val="24"/>
          <w:szCs w:val="24"/>
          <w:lang w:eastAsia="sk-SK"/>
        </w:rPr>
      </w:pPr>
    </w:p>
    <w:p w:rsidR="00883F14" w:rsidRDefault="00883F14" w:rsidP="00DD37A7">
      <w:pPr>
        <w:jc w:val="both"/>
        <w:rPr>
          <w:rFonts w:ascii="Times New Roman" w:hAnsi="Times New Roman" w:cs="Times New Roman"/>
          <w:sz w:val="24"/>
          <w:szCs w:val="24"/>
          <w:lang w:eastAsia="sk-SK"/>
        </w:rPr>
      </w:pPr>
    </w:p>
    <w:p w:rsidR="00AF73DF" w:rsidRDefault="00AF73DF" w:rsidP="00DD37A7">
      <w:pPr>
        <w:jc w:val="both"/>
        <w:rPr>
          <w:rFonts w:ascii="Times New Roman" w:hAnsi="Times New Roman" w:cs="Times New Roman"/>
          <w:sz w:val="24"/>
          <w:szCs w:val="24"/>
          <w:lang w:eastAsia="sk-SK"/>
        </w:rPr>
      </w:pPr>
    </w:p>
    <w:p w:rsidR="00883F14" w:rsidRDefault="00883F14" w:rsidP="00DD37A7">
      <w:pPr>
        <w:jc w:val="both"/>
        <w:rPr>
          <w:rFonts w:ascii="Times New Roman" w:hAnsi="Times New Roman" w:cs="Times New Roman"/>
          <w:sz w:val="24"/>
          <w:szCs w:val="24"/>
          <w:lang w:eastAsia="sk-SK"/>
        </w:rPr>
      </w:pPr>
    </w:p>
    <w:p w:rsidR="00DA6AED" w:rsidRDefault="00DA6AED" w:rsidP="00DA6AED">
      <w:pPr>
        <w:widowControl w:val="0"/>
        <w:autoSpaceDE w:val="0"/>
        <w:autoSpaceDN w:val="0"/>
        <w:adjustRightInd w:val="0"/>
        <w:spacing w:after="0" w:line="239" w:lineRule="auto"/>
        <w:rPr>
          <w:rFonts w:ascii="Cambria" w:hAnsi="Cambria" w:cs="Cambria"/>
          <w:b/>
          <w:bCs/>
          <w:color w:val="4472C4" w:themeColor="accent5"/>
          <w:sz w:val="26"/>
          <w:szCs w:val="26"/>
        </w:rPr>
      </w:pPr>
      <w:r w:rsidRPr="004058D2">
        <w:rPr>
          <w:rFonts w:ascii="Cambria" w:hAnsi="Cambria" w:cs="Cambria"/>
          <w:b/>
          <w:bCs/>
          <w:color w:val="4472C4" w:themeColor="accent5"/>
          <w:sz w:val="26"/>
          <w:szCs w:val="26"/>
        </w:rPr>
        <w:t>2. Plánovanie, príjem a</w:t>
      </w:r>
      <w:r w:rsidR="00AF73DF">
        <w:rPr>
          <w:rFonts w:ascii="Cambria" w:hAnsi="Cambria" w:cs="Cambria"/>
          <w:b/>
          <w:bCs/>
          <w:color w:val="4472C4" w:themeColor="accent5"/>
          <w:sz w:val="26"/>
          <w:szCs w:val="26"/>
        </w:rPr>
        <w:t> </w:t>
      </w:r>
      <w:r w:rsidRPr="004058D2">
        <w:rPr>
          <w:rFonts w:ascii="Cambria" w:hAnsi="Cambria" w:cs="Cambria"/>
          <w:b/>
          <w:bCs/>
          <w:color w:val="4472C4" w:themeColor="accent5"/>
          <w:sz w:val="26"/>
          <w:szCs w:val="26"/>
        </w:rPr>
        <w:t>práca</w:t>
      </w:r>
    </w:p>
    <w:p w:rsidR="00AF73DF" w:rsidRPr="004058D2" w:rsidRDefault="00AF73DF" w:rsidP="00DA6AED">
      <w:pPr>
        <w:widowControl w:val="0"/>
        <w:autoSpaceDE w:val="0"/>
        <w:autoSpaceDN w:val="0"/>
        <w:adjustRightInd w:val="0"/>
        <w:spacing w:after="0" w:line="239" w:lineRule="auto"/>
        <w:rPr>
          <w:rFonts w:ascii="Cambria" w:hAnsi="Cambria" w:cs="Cambria"/>
          <w:b/>
          <w:bCs/>
          <w:color w:val="4472C4" w:themeColor="accent5"/>
          <w:sz w:val="26"/>
          <w:szCs w:val="26"/>
        </w:rPr>
      </w:pPr>
    </w:p>
    <w:p w:rsidR="00DA6AED" w:rsidRDefault="00DA6AED" w:rsidP="00DA6AED">
      <w:pPr>
        <w:widowControl w:val="0"/>
        <w:autoSpaceDE w:val="0"/>
        <w:autoSpaceDN w:val="0"/>
        <w:adjustRightInd w:val="0"/>
        <w:spacing w:after="0" w:line="275" w:lineRule="exact"/>
        <w:rPr>
          <w:rFonts w:ascii="Times New Roman" w:hAnsi="Times New Roman"/>
          <w:sz w:val="24"/>
          <w:szCs w:val="24"/>
        </w:rPr>
      </w:pPr>
    </w:p>
    <w:p w:rsidR="00DA6AED" w:rsidRDefault="00DA6AED" w:rsidP="00DA6AED">
      <w:pPr>
        <w:widowControl w:val="0"/>
        <w:autoSpaceDE w:val="0"/>
        <w:autoSpaceDN w:val="0"/>
        <w:adjustRightInd w:val="0"/>
        <w:spacing w:after="0" w:line="240" w:lineRule="auto"/>
        <w:rPr>
          <w:rFonts w:ascii="Times New Roman" w:hAnsi="Times New Roman"/>
          <w:b/>
          <w:bCs/>
          <w:i/>
          <w:iCs/>
          <w:sz w:val="24"/>
          <w:szCs w:val="24"/>
          <w:u w:val="single"/>
        </w:rPr>
      </w:pPr>
      <w:r>
        <w:rPr>
          <w:rFonts w:ascii="Times New Roman" w:hAnsi="Times New Roman"/>
          <w:b/>
          <w:bCs/>
          <w:i/>
          <w:iCs/>
          <w:sz w:val="24"/>
          <w:szCs w:val="24"/>
          <w:u w:val="single"/>
        </w:rPr>
        <w:t>Celková kompetencia</w:t>
      </w:r>
    </w:p>
    <w:p w:rsidR="00F967F1" w:rsidRDefault="00F967F1" w:rsidP="00DA6AED">
      <w:pPr>
        <w:widowControl w:val="0"/>
        <w:autoSpaceDE w:val="0"/>
        <w:autoSpaceDN w:val="0"/>
        <w:adjustRightInd w:val="0"/>
        <w:spacing w:after="0" w:line="240" w:lineRule="auto"/>
        <w:rPr>
          <w:rFonts w:ascii="Times New Roman" w:hAnsi="Times New Roman"/>
          <w:sz w:val="24"/>
          <w:szCs w:val="24"/>
        </w:rPr>
      </w:pPr>
    </w:p>
    <w:p w:rsidR="00DA6AED" w:rsidRDefault="00DA6AED" w:rsidP="00DA6AED">
      <w:pPr>
        <w:widowControl w:val="0"/>
        <w:autoSpaceDE w:val="0"/>
        <w:autoSpaceDN w:val="0"/>
        <w:adjustRightInd w:val="0"/>
        <w:spacing w:after="0" w:line="338" w:lineRule="exact"/>
        <w:rPr>
          <w:rFonts w:ascii="Times New Roman" w:hAnsi="Times New Roman"/>
          <w:sz w:val="24"/>
          <w:szCs w:val="24"/>
        </w:rPr>
      </w:pPr>
    </w:p>
    <w:p w:rsidR="00DA6AED" w:rsidRDefault="00DA6AED" w:rsidP="00AF73DF">
      <w:pPr>
        <w:widowControl w:val="0"/>
        <w:overflowPunct w:val="0"/>
        <w:autoSpaceDE w:val="0"/>
        <w:autoSpaceDN w:val="0"/>
        <w:adjustRightInd w:val="0"/>
        <w:spacing w:after="120" w:line="360" w:lineRule="auto"/>
        <w:ind w:right="20"/>
        <w:jc w:val="both"/>
        <w:rPr>
          <w:rFonts w:ascii="Times New Roman" w:hAnsi="Times New Roman"/>
          <w:sz w:val="24"/>
          <w:szCs w:val="24"/>
        </w:rPr>
      </w:pPr>
      <w:r>
        <w:rPr>
          <w:rFonts w:ascii="Times New Roman" w:hAnsi="Times New Roman"/>
          <w:b/>
          <w:bCs/>
          <w:i/>
          <w:iCs/>
          <w:sz w:val="24"/>
          <w:szCs w:val="24"/>
        </w:rPr>
        <w:t>Vyhodnotenie vzťahu práce a osobného príjmu</w:t>
      </w:r>
    </w:p>
    <w:p w:rsidR="00DA6AED" w:rsidRPr="00AF73DF" w:rsidRDefault="00DA6AED" w:rsidP="00AF73DF">
      <w:pPr>
        <w:widowControl w:val="0"/>
        <w:autoSpaceDE w:val="0"/>
        <w:autoSpaceDN w:val="0"/>
        <w:adjustRightInd w:val="0"/>
        <w:spacing w:after="120" w:line="360" w:lineRule="auto"/>
        <w:rPr>
          <w:rFonts w:ascii="Times New Roman" w:hAnsi="Times New Roman"/>
          <w:b/>
          <w:bCs/>
          <w:i/>
          <w:iCs/>
          <w:sz w:val="24"/>
          <w:szCs w:val="24"/>
        </w:rPr>
      </w:pPr>
      <w:r>
        <w:rPr>
          <w:rFonts w:ascii="Times New Roman" w:hAnsi="Times New Roman"/>
          <w:b/>
          <w:bCs/>
          <w:i/>
          <w:iCs/>
          <w:sz w:val="24"/>
          <w:szCs w:val="24"/>
        </w:rPr>
        <w:t>Organizovanie osobných financií a používanie rozpočtu na riadenie toku peňazí</w:t>
      </w:r>
    </w:p>
    <w:p w:rsidR="00DA6AED" w:rsidRPr="00487335" w:rsidRDefault="00DA6AED" w:rsidP="00AF73DF">
      <w:pPr>
        <w:widowControl w:val="0"/>
        <w:autoSpaceDE w:val="0"/>
        <w:autoSpaceDN w:val="0"/>
        <w:adjustRightInd w:val="0"/>
        <w:spacing w:after="120" w:line="360" w:lineRule="auto"/>
        <w:rPr>
          <w:rFonts w:ascii="Times New Roman" w:hAnsi="Times New Roman"/>
          <w:color w:val="538135" w:themeColor="accent6" w:themeShade="BF"/>
          <w:sz w:val="24"/>
          <w:szCs w:val="24"/>
        </w:rPr>
      </w:pPr>
    </w:p>
    <w:p w:rsidR="00DA6AED" w:rsidRPr="00052931" w:rsidRDefault="00DA6AED" w:rsidP="00AF73DF">
      <w:pPr>
        <w:widowControl w:val="0"/>
        <w:autoSpaceDE w:val="0"/>
        <w:autoSpaceDN w:val="0"/>
        <w:adjustRightInd w:val="0"/>
        <w:spacing w:after="120" w:line="360" w:lineRule="auto"/>
        <w:rPr>
          <w:rFonts w:ascii="Times New Roman" w:hAnsi="Times New Roman"/>
          <w:sz w:val="24"/>
          <w:szCs w:val="24"/>
        </w:rPr>
      </w:pPr>
      <w:r w:rsidRPr="00052931">
        <w:rPr>
          <w:rFonts w:ascii="Times New Roman" w:hAnsi="Times New Roman"/>
          <w:sz w:val="24"/>
          <w:szCs w:val="24"/>
        </w:rPr>
        <w:t>Čiastková kompetencia 1:    Identifikovať zdroje osobných príjmov</w:t>
      </w:r>
    </w:p>
    <w:p w:rsidR="00DA6AED" w:rsidRPr="00052931" w:rsidRDefault="00DA6AED" w:rsidP="00AF73DF">
      <w:pPr>
        <w:widowControl w:val="0"/>
        <w:overflowPunct w:val="0"/>
        <w:autoSpaceDE w:val="0"/>
        <w:autoSpaceDN w:val="0"/>
        <w:adjustRightInd w:val="0"/>
        <w:spacing w:after="120" w:line="360" w:lineRule="auto"/>
        <w:ind w:left="2840" w:right="20" w:hanging="2835"/>
        <w:jc w:val="both"/>
        <w:rPr>
          <w:rFonts w:ascii="Times New Roman" w:hAnsi="Times New Roman"/>
          <w:sz w:val="24"/>
          <w:szCs w:val="24"/>
        </w:rPr>
      </w:pPr>
      <w:r w:rsidRPr="00052931">
        <w:rPr>
          <w:rFonts w:ascii="Times New Roman" w:hAnsi="Times New Roman"/>
          <w:sz w:val="24"/>
          <w:szCs w:val="24"/>
        </w:rPr>
        <w:t xml:space="preserve">Čiastková kompetencia 2:    Vypracovať finančný plán </w:t>
      </w:r>
    </w:p>
    <w:p w:rsidR="00DA6AED" w:rsidRDefault="00DA6AED" w:rsidP="00AF73DF">
      <w:pPr>
        <w:widowControl w:val="0"/>
        <w:autoSpaceDE w:val="0"/>
        <w:autoSpaceDN w:val="0"/>
        <w:adjustRightInd w:val="0"/>
        <w:spacing w:after="120" w:line="360" w:lineRule="auto"/>
        <w:rPr>
          <w:rFonts w:ascii="Times New Roman" w:hAnsi="Times New Roman"/>
          <w:sz w:val="24"/>
          <w:szCs w:val="24"/>
        </w:rPr>
      </w:pPr>
      <w:r w:rsidRPr="00052931">
        <w:rPr>
          <w:rFonts w:ascii="Times New Roman" w:hAnsi="Times New Roman"/>
          <w:sz w:val="24"/>
          <w:szCs w:val="24"/>
        </w:rPr>
        <w:t xml:space="preserve">Čiastková kompetencia 3:    Vysvetliť daňový a odvodový systém  </w:t>
      </w:r>
    </w:p>
    <w:p w:rsidR="00DA6AED" w:rsidRDefault="00DA6AED" w:rsidP="00AF73DF">
      <w:pPr>
        <w:widowControl w:val="0"/>
        <w:autoSpaceDE w:val="0"/>
        <w:autoSpaceDN w:val="0"/>
        <w:adjustRightInd w:val="0"/>
        <w:spacing w:after="120" w:line="360" w:lineRule="auto"/>
        <w:ind w:left="2835" w:hanging="2835"/>
        <w:rPr>
          <w:rFonts w:ascii="Times New Roman" w:hAnsi="Times New Roman"/>
          <w:bCs/>
          <w:sz w:val="24"/>
          <w:szCs w:val="24"/>
        </w:rPr>
      </w:pPr>
      <w:r w:rsidRPr="004D05FB">
        <w:rPr>
          <w:rFonts w:ascii="Times New Roman" w:hAnsi="Times New Roman"/>
          <w:bCs/>
          <w:sz w:val="24"/>
          <w:szCs w:val="24"/>
        </w:rPr>
        <w:t>Čiastková kompetencia 4:</w:t>
      </w:r>
      <w:r w:rsidRPr="004D05FB">
        <w:rPr>
          <w:rFonts w:ascii="Times New Roman" w:hAnsi="Times New Roman"/>
          <w:bCs/>
          <w:sz w:val="24"/>
          <w:szCs w:val="24"/>
        </w:rPr>
        <w:tab/>
        <w:t>Zhrnúť právne formy podnikania a základné normy pre oblasť podnikania</w:t>
      </w:r>
    </w:p>
    <w:p w:rsidR="00FC6561" w:rsidRDefault="00FC6561" w:rsidP="00AF73DF">
      <w:pPr>
        <w:widowControl w:val="0"/>
        <w:autoSpaceDE w:val="0"/>
        <w:autoSpaceDN w:val="0"/>
        <w:adjustRightInd w:val="0"/>
        <w:spacing w:after="120" w:line="360" w:lineRule="auto"/>
        <w:ind w:left="2835" w:hanging="2835"/>
        <w:rPr>
          <w:rFonts w:ascii="Times New Roman" w:hAnsi="Times New Roman"/>
          <w:bCs/>
          <w:sz w:val="24"/>
          <w:szCs w:val="24"/>
        </w:rPr>
      </w:pPr>
    </w:p>
    <w:p w:rsidR="00FC6561" w:rsidRDefault="00FC6561" w:rsidP="00DA6AED">
      <w:pPr>
        <w:widowControl w:val="0"/>
        <w:autoSpaceDE w:val="0"/>
        <w:autoSpaceDN w:val="0"/>
        <w:adjustRightInd w:val="0"/>
        <w:spacing w:after="0" w:line="240" w:lineRule="auto"/>
        <w:ind w:left="2835" w:hanging="2835"/>
        <w:rPr>
          <w:rFonts w:ascii="Times New Roman" w:hAnsi="Times New Roman"/>
          <w:bCs/>
          <w:sz w:val="24"/>
          <w:szCs w:val="24"/>
        </w:rPr>
      </w:pPr>
    </w:p>
    <w:p w:rsidR="00FC6561" w:rsidRDefault="00FC6561" w:rsidP="00DA6AED">
      <w:pPr>
        <w:widowControl w:val="0"/>
        <w:autoSpaceDE w:val="0"/>
        <w:autoSpaceDN w:val="0"/>
        <w:adjustRightInd w:val="0"/>
        <w:spacing w:after="0" w:line="240" w:lineRule="auto"/>
        <w:ind w:left="2835" w:hanging="2835"/>
        <w:rPr>
          <w:rFonts w:ascii="Times New Roman" w:hAnsi="Times New Roman"/>
          <w:bCs/>
          <w:sz w:val="24"/>
          <w:szCs w:val="24"/>
        </w:rPr>
      </w:pPr>
    </w:p>
    <w:p w:rsidR="00FC6561" w:rsidRDefault="00FC6561" w:rsidP="00DA6AED">
      <w:pPr>
        <w:widowControl w:val="0"/>
        <w:autoSpaceDE w:val="0"/>
        <w:autoSpaceDN w:val="0"/>
        <w:adjustRightInd w:val="0"/>
        <w:spacing w:after="0" w:line="240" w:lineRule="auto"/>
        <w:ind w:left="2835" w:hanging="2835"/>
        <w:rPr>
          <w:rFonts w:ascii="Times New Roman" w:hAnsi="Times New Roman"/>
          <w:bCs/>
          <w:sz w:val="24"/>
          <w:szCs w:val="24"/>
        </w:rPr>
      </w:pPr>
    </w:p>
    <w:p w:rsidR="00FC6561" w:rsidRDefault="00FC6561" w:rsidP="00DA6AED">
      <w:pPr>
        <w:widowControl w:val="0"/>
        <w:autoSpaceDE w:val="0"/>
        <w:autoSpaceDN w:val="0"/>
        <w:adjustRightInd w:val="0"/>
        <w:spacing w:after="0" w:line="240" w:lineRule="auto"/>
        <w:ind w:left="2835" w:hanging="2835"/>
        <w:rPr>
          <w:rFonts w:ascii="Times New Roman" w:hAnsi="Times New Roman"/>
          <w:bCs/>
          <w:sz w:val="24"/>
          <w:szCs w:val="24"/>
        </w:rPr>
      </w:pPr>
    </w:p>
    <w:p w:rsidR="00FC6561" w:rsidRDefault="00FC6561" w:rsidP="00AF73DF">
      <w:pPr>
        <w:widowControl w:val="0"/>
        <w:autoSpaceDE w:val="0"/>
        <w:autoSpaceDN w:val="0"/>
        <w:adjustRightInd w:val="0"/>
        <w:spacing w:after="0" w:line="240" w:lineRule="auto"/>
        <w:rPr>
          <w:rFonts w:ascii="Times New Roman" w:hAnsi="Times New Roman"/>
          <w:bCs/>
          <w:sz w:val="24"/>
          <w:szCs w:val="24"/>
        </w:rPr>
      </w:pPr>
    </w:p>
    <w:p w:rsidR="00FC6561" w:rsidRDefault="00FC6561" w:rsidP="00DA6AED">
      <w:pPr>
        <w:widowControl w:val="0"/>
        <w:autoSpaceDE w:val="0"/>
        <w:autoSpaceDN w:val="0"/>
        <w:adjustRightInd w:val="0"/>
        <w:spacing w:after="0" w:line="240" w:lineRule="auto"/>
        <w:ind w:left="2835" w:hanging="2835"/>
        <w:rPr>
          <w:rFonts w:ascii="Times New Roman" w:hAnsi="Times New Roman"/>
          <w:bCs/>
          <w:sz w:val="24"/>
          <w:szCs w:val="24"/>
        </w:rPr>
      </w:pPr>
    </w:p>
    <w:p w:rsidR="00FC6561" w:rsidRDefault="00FC6561" w:rsidP="00DA6AED">
      <w:pPr>
        <w:widowControl w:val="0"/>
        <w:autoSpaceDE w:val="0"/>
        <w:autoSpaceDN w:val="0"/>
        <w:adjustRightInd w:val="0"/>
        <w:spacing w:after="0" w:line="240" w:lineRule="auto"/>
        <w:ind w:left="2835" w:hanging="2835"/>
        <w:rPr>
          <w:rFonts w:ascii="Times New Roman" w:hAnsi="Times New Roman"/>
          <w:bCs/>
          <w:sz w:val="24"/>
          <w:szCs w:val="24"/>
        </w:rPr>
      </w:pPr>
    </w:p>
    <w:p w:rsidR="00FC6561" w:rsidRDefault="00FC6561" w:rsidP="00DA6AED">
      <w:pPr>
        <w:widowControl w:val="0"/>
        <w:autoSpaceDE w:val="0"/>
        <w:autoSpaceDN w:val="0"/>
        <w:adjustRightInd w:val="0"/>
        <w:spacing w:after="0" w:line="240" w:lineRule="auto"/>
        <w:ind w:left="2835" w:hanging="2835"/>
        <w:rPr>
          <w:rFonts w:ascii="Times New Roman" w:hAnsi="Times New Roman"/>
          <w:bCs/>
          <w:sz w:val="24"/>
          <w:szCs w:val="24"/>
        </w:rPr>
      </w:pPr>
    </w:p>
    <w:p w:rsidR="00FC6561" w:rsidRDefault="00FC6561" w:rsidP="00AF73DF">
      <w:pPr>
        <w:widowControl w:val="0"/>
        <w:autoSpaceDE w:val="0"/>
        <w:autoSpaceDN w:val="0"/>
        <w:adjustRightInd w:val="0"/>
        <w:spacing w:after="0" w:line="240" w:lineRule="auto"/>
        <w:rPr>
          <w:rFonts w:ascii="Times New Roman" w:hAnsi="Times New Roman"/>
          <w:bCs/>
          <w:sz w:val="24"/>
          <w:szCs w:val="24"/>
        </w:rPr>
      </w:pPr>
    </w:p>
    <w:p w:rsidR="00DA6AED" w:rsidRDefault="00DA6AED" w:rsidP="00DD37A7">
      <w:pPr>
        <w:jc w:val="both"/>
        <w:rPr>
          <w:rFonts w:ascii="Times New Roman" w:hAnsi="Times New Roman" w:cs="Times New Roman"/>
          <w:sz w:val="24"/>
          <w:szCs w:val="24"/>
        </w:rPr>
      </w:pPr>
    </w:p>
    <w:p w:rsidR="00F967F1" w:rsidRDefault="00F967F1" w:rsidP="00DD37A7">
      <w:pPr>
        <w:jc w:val="both"/>
        <w:rPr>
          <w:rFonts w:ascii="Times New Roman" w:hAnsi="Times New Roman" w:cs="Times New Roman"/>
          <w:sz w:val="24"/>
          <w:szCs w:val="24"/>
        </w:rPr>
      </w:pPr>
    </w:p>
    <w:tbl>
      <w:tblPr>
        <w:tblW w:w="16030" w:type="dxa"/>
        <w:tblCellMar>
          <w:left w:w="70" w:type="dxa"/>
          <w:right w:w="70" w:type="dxa"/>
        </w:tblCellMar>
        <w:tblLook w:val="04A0" w:firstRow="1" w:lastRow="0" w:firstColumn="1" w:lastColumn="0" w:noHBand="0" w:noVBand="1"/>
      </w:tblPr>
      <w:tblGrid>
        <w:gridCol w:w="4280"/>
        <w:gridCol w:w="1410"/>
        <w:gridCol w:w="1160"/>
        <w:gridCol w:w="1020"/>
        <w:gridCol w:w="1020"/>
        <w:gridCol w:w="1020"/>
        <w:gridCol w:w="1020"/>
        <w:gridCol w:w="1020"/>
        <w:gridCol w:w="1020"/>
        <w:gridCol w:w="1020"/>
        <w:gridCol w:w="1020"/>
        <w:gridCol w:w="1020"/>
      </w:tblGrid>
      <w:tr w:rsidR="00FC6561" w:rsidRPr="00FC6561" w:rsidTr="00AF73DF">
        <w:trPr>
          <w:trHeight w:val="880"/>
        </w:trPr>
        <w:tc>
          <w:tcPr>
            <w:tcW w:w="4280" w:type="dxa"/>
            <w:tcBorders>
              <w:top w:val="single" w:sz="8" w:space="0" w:color="auto"/>
              <w:left w:val="single" w:sz="8" w:space="0" w:color="auto"/>
              <w:bottom w:val="single" w:sz="8"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sz w:val="24"/>
                <w:szCs w:val="24"/>
                <w:lang w:eastAsia="sk-SK"/>
              </w:rPr>
            </w:pPr>
            <w:r w:rsidRPr="00FC6561">
              <w:rPr>
                <w:rFonts w:ascii="Calibri" w:eastAsia="Times New Roman" w:hAnsi="Calibri" w:cs="Calibri"/>
                <w:b/>
                <w:bCs/>
                <w:color w:val="000000"/>
                <w:sz w:val="24"/>
                <w:szCs w:val="24"/>
                <w:lang w:eastAsia="sk-SK"/>
              </w:rPr>
              <w:t>Organizácia / Téma</w:t>
            </w:r>
          </w:p>
        </w:tc>
        <w:tc>
          <w:tcPr>
            <w:tcW w:w="141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Plánovanie, príjem a práca</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Calibri" w:eastAsia="Times New Roman" w:hAnsi="Calibri" w:cs="Calibri"/>
                <w:color w:val="000000"/>
                <w:lang w:eastAsia="sk-SK"/>
              </w:rPr>
            </w:pPr>
            <w:r w:rsidRPr="00FC6561">
              <w:rPr>
                <w:rFonts w:ascii="Calibri" w:eastAsia="Times New Roman" w:hAnsi="Calibri" w:cs="Calibri"/>
                <w:noProof/>
                <w:color w:val="000000"/>
                <w:lang w:eastAsia="sk-SK"/>
              </w:rPr>
              <w:drawing>
                <wp:anchor distT="0" distB="0" distL="114300" distR="114300" simplePos="0" relativeHeight="251661312" behindDoc="0" locked="0" layoutInCell="1" allowOverlap="1">
                  <wp:simplePos x="0" y="0"/>
                  <wp:positionH relativeFrom="column">
                    <wp:posOffset>55245</wp:posOffset>
                  </wp:positionH>
                  <wp:positionV relativeFrom="paragraph">
                    <wp:posOffset>-402590</wp:posOffset>
                  </wp:positionV>
                  <wp:extent cx="6271260" cy="6024880"/>
                  <wp:effectExtent l="0" t="0" r="15240" b="13970"/>
                  <wp:wrapNone/>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20"/>
            </w:tblGrid>
            <w:tr w:rsidR="00FC6561" w:rsidRPr="00FC6561">
              <w:trPr>
                <w:trHeight w:val="880"/>
                <w:tblCellSpacing w:w="0" w:type="dxa"/>
              </w:trPr>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Calibri" w:eastAsia="Times New Roman" w:hAnsi="Calibri" w:cs="Calibri"/>
                      <w:color w:val="000000"/>
                      <w:lang w:eastAsia="sk-SK"/>
                    </w:rPr>
                  </w:pPr>
                </w:p>
              </w:tc>
            </w:tr>
          </w:tbl>
          <w:p w:rsidR="00FC6561" w:rsidRPr="00FC6561" w:rsidRDefault="00FC6561" w:rsidP="00FC6561">
            <w:pPr>
              <w:spacing w:after="0" w:line="240" w:lineRule="auto"/>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Nadácia pre deti Slovenska</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100%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Nadácia Slovenskej sporiteľne</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17%</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Slovenská banková asociácia</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25%</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 xml:space="preserve">OVB </w:t>
            </w:r>
            <w:proofErr w:type="spellStart"/>
            <w:r w:rsidRPr="00FC6561">
              <w:rPr>
                <w:rFonts w:ascii="Calibri" w:eastAsia="Times New Roman" w:hAnsi="Calibri" w:cs="Calibri"/>
                <w:b/>
                <w:bCs/>
                <w:color w:val="000000"/>
                <w:lang w:eastAsia="sk-SK"/>
              </w:rPr>
              <w:t>Allfinanz</w:t>
            </w:r>
            <w:proofErr w:type="spellEnd"/>
            <w:r w:rsidRPr="00FC6561">
              <w:rPr>
                <w:rFonts w:ascii="Calibri" w:eastAsia="Times New Roman" w:hAnsi="Calibri" w:cs="Calibri"/>
                <w:b/>
                <w:bCs/>
                <w:color w:val="000000"/>
                <w:lang w:eastAsia="sk-SK"/>
              </w:rPr>
              <w:t xml:space="preserve"> Slovensko a. s. </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EE5452" w:rsidP="00FC6561">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75</w:t>
            </w:r>
            <w:r w:rsidR="00FC6561" w:rsidRPr="00FC6561">
              <w:rPr>
                <w:rFonts w:ascii="Calibri" w:eastAsia="Times New Roman" w:hAnsi="Calibri" w:cs="Calibri"/>
                <w:b/>
                <w:bCs/>
                <w:color w:val="000000"/>
                <w:lang w:eastAsia="sk-SK"/>
              </w:rPr>
              <w:t>%</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roofErr w:type="spellStart"/>
            <w:r w:rsidRPr="00FC6561">
              <w:rPr>
                <w:rFonts w:ascii="Calibri" w:eastAsia="Times New Roman" w:hAnsi="Calibri" w:cs="Calibri"/>
                <w:b/>
                <w:bCs/>
                <w:color w:val="000000"/>
                <w:lang w:eastAsia="sk-SK"/>
              </w:rPr>
              <w:t>Minist</w:t>
            </w:r>
            <w:proofErr w:type="spellEnd"/>
            <w:r w:rsidRPr="00FC6561">
              <w:rPr>
                <w:rFonts w:ascii="Calibri" w:eastAsia="Times New Roman" w:hAnsi="Calibri" w:cs="Calibri"/>
                <w:b/>
                <w:bCs/>
                <w:color w:val="000000"/>
                <w:lang w:eastAsia="sk-SK"/>
              </w:rPr>
              <w:t>. financií SR.-</w:t>
            </w:r>
            <w:proofErr w:type="spellStart"/>
            <w:r w:rsidRPr="00FC6561">
              <w:rPr>
                <w:rFonts w:ascii="Calibri" w:eastAsia="Times New Roman" w:hAnsi="Calibri" w:cs="Calibri"/>
                <w:b/>
                <w:bCs/>
                <w:color w:val="000000"/>
                <w:lang w:eastAsia="sk-SK"/>
              </w:rPr>
              <w:t>Odb.ochrany</w:t>
            </w:r>
            <w:proofErr w:type="spellEnd"/>
            <w:r w:rsidRPr="00FC6561">
              <w:rPr>
                <w:rFonts w:ascii="Calibri" w:eastAsia="Times New Roman" w:hAnsi="Calibri" w:cs="Calibri"/>
                <w:b/>
                <w:bCs/>
                <w:color w:val="000000"/>
                <w:lang w:eastAsia="sk-SK"/>
              </w:rPr>
              <w:t xml:space="preserve"> </w:t>
            </w:r>
            <w:proofErr w:type="spellStart"/>
            <w:r w:rsidRPr="00FC6561">
              <w:rPr>
                <w:rFonts w:ascii="Calibri" w:eastAsia="Times New Roman" w:hAnsi="Calibri" w:cs="Calibri"/>
                <w:b/>
                <w:bCs/>
                <w:color w:val="000000"/>
                <w:lang w:eastAsia="sk-SK"/>
              </w:rPr>
              <w:t>fin.spotreb</w:t>
            </w:r>
            <w:proofErr w:type="spellEnd"/>
            <w:r w:rsidRPr="00FC6561">
              <w:rPr>
                <w:rFonts w:ascii="Calibri" w:eastAsia="Times New Roman" w:hAnsi="Calibri" w:cs="Calibri"/>
                <w:b/>
                <w:bCs/>
                <w:color w:val="000000"/>
                <w:lang w:eastAsia="sk-SK"/>
              </w:rPr>
              <w:t>.</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NBS-odbor ochrany slovenských spotrebiteľ.</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25%</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Metodicko-pedagogické centrum</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50%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Finančné riaditeľstvo SR</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25%</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CKÚ OLAF ÚV SR</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25%</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Odbor prevencie korupcie ÚV SR</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Štátna školská inšpekcia</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 xml:space="preserve">Ministerstvo hospodárstva SR </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JA Slovensko</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83%</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 xml:space="preserve"> Úrad </w:t>
            </w:r>
            <w:proofErr w:type="spellStart"/>
            <w:r w:rsidRPr="00FC6561">
              <w:rPr>
                <w:rFonts w:ascii="Calibri" w:eastAsia="Times New Roman" w:hAnsi="Calibri" w:cs="Calibri"/>
                <w:color w:val="000000"/>
                <w:lang w:eastAsia="sk-SK"/>
              </w:rPr>
              <w:t>splnomoc</w:t>
            </w:r>
            <w:proofErr w:type="spellEnd"/>
            <w:r w:rsidRPr="00FC6561">
              <w:rPr>
                <w:rFonts w:ascii="Calibri" w:eastAsia="Times New Roman" w:hAnsi="Calibri" w:cs="Calibri"/>
                <w:color w:val="000000"/>
                <w:lang w:eastAsia="sk-SK"/>
              </w:rPr>
              <w:t xml:space="preserve">. vlády SR pre </w:t>
            </w:r>
            <w:proofErr w:type="spellStart"/>
            <w:r w:rsidRPr="00FC6561">
              <w:rPr>
                <w:rFonts w:ascii="Calibri" w:eastAsia="Times New Roman" w:hAnsi="Calibri" w:cs="Calibri"/>
                <w:color w:val="000000"/>
                <w:lang w:eastAsia="sk-SK"/>
              </w:rPr>
              <w:t>róm</w:t>
            </w:r>
            <w:proofErr w:type="spellEnd"/>
            <w:r w:rsidRPr="00FC6561">
              <w:rPr>
                <w:rFonts w:ascii="Calibri" w:eastAsia="Times New Roman" w:hAnsi="Calibri" w:cs="Calibri"/>
                <w:color w:val="000000"/>
                <w:lang w:eastAsia="sk-SK"/>
              </w:rPr>
              <w:t>. komunity</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NÚCEM</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SLASPO - Slovenská asociácia poisťovní</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ŠIOV - FG a SCCF</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33%</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nil"/>
              <w:left w:val="single" w:sz="8" w:space="0" w:color="auto"/>
              <w:bottom w:val="nil"/>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lastRenderedPageBreak/>
              <w:t>EUBA - Ekonomická Univerzita</w:t>
            </w:r>
          </w:p>
        </w:tc>
        <w:tc>
          <w:tcPr>
            <w:tcW w:w="141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33%</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AF73DF">
        <w:trPr>
          <w:trHeight w:val="379"/>
        </w:trPr>
        <w:tc>
          <w:tcPr>
            <w:tcW w:w="4280" w:type="dxa"/>
            <w:tcBorders>
              <w:top w:val="single" w:sz="4" w:space="0" w:color="auto"/>
              <w:left w:val="single" w:sz="8" w:space="0" w:color="auto"/>
              <w:bottom w:val="single" w:sz="8"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ŠPÚ - Štátny pedagogický ústav</w:t>
            </w:r>
          </w:p>
        </w:tc>
        <w:tc>
          <w:tcPr>
            <w:tcW w:w="1410" w:type="dxa"/>
            <w:tcBorders>
              <w:top w:val="nil"/>
              <w:left w:val="single" w:sz="4" w:space="0" w:color="auto"/>
              <w:bottom w:val="single" w:sz="8"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67%</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bl>
    <w:p w:rsidR="0037459D" w:rsidRDefault="0037459D" w:rsidP="0009411B">
      <w:p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Druhej téme NŠFG 1.2  a jeho čiastkovým kompetenciám sa venuje na 100 %</w:t>
      </w:r>
      <w:r w:rsidR="006E5F23">
        <w:rPr>
          <w:rFonts w:ascii="Times New Roman" w:hAnsi="Times New Roman" w:cs="Times New Roman"/>
          <w:sz w:val="24"/>
          <w:szCs w:val="24"/>
        </w:rPr>
        <w:t xml:space="preserve"> </w:t>
      </w:r>
      <w:r w:rsidR="006E5F23" w:rsidRPr="0037459D">
        <w:rPr>
          <w:rFonts w:ascii="Times New Roman" w:hAnsi="Times New Roman" w:cs="Times New Roman"/>
          <w:b/>
          <w:sz w:val="24"/>
          <w:szCs w:val="24"/>
        </w:rPr>
        <w:t>Nadácia pre deti Slovenska</w:t>
      </w:r>
      <w:r w:rsidRPr="0037459D">
        <w:rPr>
          <w:rFonts w:ascii="Times New Roman" w:hAnsi="Times New Roman" w:cs="Times New Roman"/>
          <w:b/>
          <w:sz w:val="24"/>
          <w:szCs w:val="24"/>
        </w:rPr>
        <w:t>.</w:t>
      </w:r>
      <w:r>
        <w:rPr>
          <w:rFonts w:ascii="Times New Roman" w:hAnsi="Times New Roman" w:cs="Times New Roman"/>
          <w:b/>
          <w:sz w:val="24"/>
          <w:szCs w:val="24"/>
        </w:rPr>
        <w:t xml:space="preserve"> </w:t>
      </w:r>
    </w:p>
    <w:p w:rsidR="0037459D" w:rsidRDefault="0037459D" w:rsidP="0009411B">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JA Slovensko</w:t>
      </w:r>
      <w:r w:rsidRPr="0037459D">
        <w:rPr>
          <w:rFonts w:ascii="Times New Roman" w:hAnsi="Times New Roman" w:cs="Times New Roman"/>
          <w:sz w:val="24"/>
          <w:szCs w:val="24"/>
        </w:rPr>
        <w:t xml:space="preserve"> </w:t>
      </w:r>
      <w:r>
        <w:rPr>
          <w:rFonts w:ascii="Times New Roman" w:hAnsi="Times New Roman" w:cs="Times New Roman"/>
          <w:sz w:val="24"/>
          <w:szCs w:val="24"/>
        </w:rPr>
        <w:t>sa d</w:t>
      </w:r>
      <w:r w:rsidRPr="0037459D">
        <w:rPr>
          <w:rFonts w:ascii="Times New Roman" w:hAnsi="Times New Roman" w:cs="Times New Roman"/>
          <w:sz w:val="24"/>
          <w:szCs w:val="24"/>
        </w:rPr>
        <w:t xml:space="preserve">ruhej téme venuje na 83 %. Z uvedených informácii vyplýva, že sa nezaoberá prvou úrovňou, teda prvým </w:t>
      </w:r>
      <w:r>
        <w:rPr>
          <w:rFonts w:ascii="Times New Roman" w:hAnsi="Times New Roman" w:cs="Times New Roman"/>
          <w:sz w:val="24"/>
          <w:szCs w:val="24"/>
        </w:rPr>
        <w:t>stupňom základnej školy</w:t>
      </w:r>
      <w:r w:rsidRPr="0037459D">
        <w:rPr>
          <w:rFonts w:ascii="Times New Roman" w:hAnsi="Times New Roman" w:cs="Times New Roman"/>
          <w:sz w:val="24"/>
          <w:szCs w:val="24"/>
        </w:rPr>
        <w:t xml:space="preserve"> v rámci 3. a 4. čiastkovej kompetencie.  </w:t>
      </w:r>
    </w:p>
    <w:p w:rsidR="003E1C31" w:rsidRPr="0037459D" w:rsidRDefault="003E1C31" w:rsidP="0009411B">
      <w:pPr>
        <w:spacing w:after="120" w:line="360" w:lineRule="auto"/>
        <w:jc w:val="both"/>
        <w:rPr>
          <w:rFonts w:ascii="Times New Roman" w:hAnsi="Times New Roman" w:cs="Times New Roman"/>
          <w:sz w:val="24"/>
          <w:szCs w:val="24"/>
        </w:rPr>
      </w:pPr>
    </w:p>
    <w:p w:rsidR="00DA6AED" w:rsidRDefault="003E1C31" w:rsidP="0009411B">
      <w:pPr>
        <w:spacing w:after="120" w:line="360" w:lineRule="auto"/>
        <w:jc w:val="both"/>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sk-SK"/>
        </w:rPr>
        <w:t xml:space="preserve">OVB  </w:t>
      </w:r>
      <w:r w:rsidRPr="003E1C31">
        <w:rPr>
          <w:rFonts w:ascii="Times New Roman" w:eastAsia="Times New Roman" w:hAnsi="Times New Roman" w:cs="Times New Roman"/>
          <w:bCs/>
          <w:color w:val="000000"/>
          <w:sz w:val="24"/>
          <w:szCs w:val="24"/>
          <w:lang w:eastAsia="sk-SK"/>
        </w:rPr>
        <w:t>sa danej téme venuje na 75</w:t>
      </w:r>
      <w:r>
        <w:rPr>
          <w:rFonts w:ascii="Calibri" w:eastAsia="Times New Roman" w:hAnsi="Calibri" w:cs="Calibri"/>
          <w:b/>
          <w:bCs/>
          <w:color w:val="000000"/>
          <w:lang w:eastAsia="sk-SK"/>
        </w:rPr>
        <w:t xml:space="preserve"> </w:t>
      </w:r>
      <w:r w:rsidRPr="0037459D">
        <w:rPr>
          <w:rFonts w:ascii="Times New Roman" w:hAnsi="Times New Roman" w:cs="Times New Roman"/>
          <w:sz w:val="24"/>
          <w:szCs w:val="24"/>
        </w:rPr>
        <w:t xml:space="preserve"> %</w:t>
      </w:r>
      <w:r>
        <w:rPr>
          <w:rFonts w:ascii="Times New Roman" w:hAnsi="Times New Roman" w:cs="Times New Roman"/>
          <w:sz w:val="24"/>
          <w:szCs w:val="24"/>
        </w:rPr>
        <w:t>, venuje sa aj ZŠ aj SŠ</w:t>
      </w:r>
      <w:r w:rsidRPr="0037459D">
        <w:rPr>
          <w:rFonts w:ascii="Times New Roman" w:hAnsi="Times New Roman" w:cs="Times New Roman"/>
          <w:sz w:val="24"/>
          <w:szCs w:val="24"/>
        </w:rPr>
        <w:t xml:space="preserve">. </w:t>
      </w:r>
      <w:r w:rsidR="0037459D" w:rsidRPr="0037459D">
        <w:rPr>
          <w:rFonts w:ascii="Times New Roman" w:hAnsi="Times New Roman" w:cs="Times New Roman"/>
          <w:b/>
          <w:sz w:val="24"/>
          <w:szCs w:val="24"/>
        </w:rPr>
        <w:t>ŠPÚ</w:t>
      </w:r>
      <w:r w:rsidR="0037459D">
        <w:rPr>
          <w:rFonts w:ascii="Times New Roman" w:hAnsi="Times New Roman" w:cs="Times New Roman"/>
          <w:sz w:val="24"/>
          <w:szCs w:val="24"/>
        </w:rPr>
        <w:t xml:space="preserve"> sa tejto téme venuje na 67 %. Z toho vyplýva, že sa všetkým štyrom čiastkovým kompetenciám venuje v rámci prvej a druhej úrovne, teda na úrovni základnej školy.</w:t>
      </w:r>
    </w:p>
    <w:p w:rsidR="008A3E25" w:rsidRPr="00DA6AED" w:rsidRDefault="0037459D" w:rsidP="0009411B">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ŠIOV</w:t>
      </w:r>
      <w:r w:rsidR="008A3E25">
        <w:rPr>
          <w:rFonts w:ascii="Times New Roman" w:hAnsi="Times New Roman" w:cs="Times New Roman"/>
          <w:b/>
          <w:sz w:val="24"/>
          <w:szCs w:val="24"/>
        </w:rPr>
        <w:t xml:space="preserve"> a </w:t>
      </w:r>
      <w:r w:rsidR="006E5F23">
        <w:rPr>
          <w:rFonts w:ascii="Times New Roman" w:hAnsi="Times New Roman" w:cs="Times New Roman"/>
          <w:sz w:val="24"/>
          <w:szCs w:val="24"/>
        </w:rPr>
        <w:t xml:space="preserve"> </w:t>
      </w:r>
      <w:r w:rsidR="008A3E25" w:rsidRPr="008A3E25">
        <w:rPr>
          <w:rFonts w:ascii="Times New Roman" w:hAnsi="Times New Roman" w:cs="Times New Roman"/>
          <w:b/>
          <w:sz w:val="24"/>
          <w:szCs w:val="24"/>
        </w:rPr>
        <w:t>Ekonomick</w:t>
      </w:r>
      <w:r w:rsidR="00670F27">
        <w:rPr>
          <w:rFonts w:ascii="Times New Roman" w:hAnsi="Times New Roman" w:cs="Times New Roman"/>
          <w:b/>
          <w:sz w:val="24"/>
          <w:szCs w:val="24"/>
        </w:rPr>
        <w:t>á univerzita</w:t>
      </w:r>
      <w:r w:rsidR="008A3E25" w:rsidRPr="008A3E25">
        <w:rPr>
          <w:rFonts w:ascii="Times New Roman" w:hAnsi="Times New Roman" w:cs="Times New Roman"/>
          <w:b/>
          <w:sz w:val="24"/>
          <w:szCs w:val="24"/>
        </w:rPr>
        <w:t xml:space="preserve"> v Bratislave</w:t>
      </w:r>
      <w:r w:rsidR="008A3E25">
        <w:rPr>
          <w:rFonts w:ascii="Times New Roman" w:hAnsi="Times New Roman" w:cs="Times New Roman"/>
          <w:sz w:val="24"/>
          <w:szCs w:val="24"/>
        </w:rPr>
        <w:t xml:space="preserve"> </w:t>
      </w:r>
      <w:r w:rsidR="006E5F23">
        <w:rPr>
          <w:rFonts w:ascii="Times New Roman" w:hAnsi="Times New Roman" w:cs="Times New Roman"/>
          <w:sz w:val="24"/>
          <w:szCs w:val="24"/>
        </w:rPr>
        <w:t>sa tejto téme venuje na 33</w:t>
      </w:r>
      <w:r>
        <w:rPr>
          <w:rFonts w:ascii="Times New Roman" w:hAnsi="Times New Roman" w:cs="Times New Roman"/>
          <w:sz w:val="24"/>
          <w:szCs w:val="24"/>
        </w:rPr>
        <w:t xml:space="preserve"> %</w:t>
      </w:r>
      <w:r w:rsidR="008A3E25">
        <w:rPr>
          <w:rFonts w:ascii="Times New Roman" w:hAnsi="Times New Roman" w:cs="Times New Roman"/>
          <w:sz w:val="24"/>
          <w:szCs w:val="24"/>
        </w:rPr>
        <w:t xml:space="preserve"> z toho dôvodu, že sa nevenujú dvom úrovniam základnej školy</w:t>
      </w:r>
      <w:r>
        <w:rPr>
          <w:rFonts w:ascii="Times New Roman" w:hAnsi="Times New Roman" w:cs="Times New Roman"/>
          <w:sz w:val="24"/>
          <w:szCs w:val="24"/>
        </w:rPr>
        <w:t xml:space="preserve">. </w:t>
      </w:r>
      <w:r w:rsidR="008A3E25">
        <w:rPr>
          <w:rFonts w:ascii="Times New Roman" w:hAnsi="Times New Roman" w:cs="Times New Roman"/>
          <w:sz w:val="24"/>
          <w:szCs w:val="24"/>
        </w:rPr>
        <w:t>Venujú</w:t>
      </w:r>
      <w:r>
        <w:rPr>
          <w:rFonts w:ascii="Times New Roman" w:hAnsi="Times New Roman" w:cs="Times New Roman"/>
          <w:sz w:val="24"/>
          <w:szCs w:val="24"/>
        </w:rPr>
        <w:t xml:space="preserve"> sa všetkým štyrom</w:t>
      </w:r>
      <w:r w:rsidR="006E5F23">
        <w:rPr>
          <w:rFonts w:ascii="Times New Roman" w:hAnsi="Times New Roman" w:cs="Times New Roman"/>
          <w:sz w:val="24"/>
          <w:szCs w:val="24"/>
        </w:rPr>
        <w:t xml:space="preserve"> čiastkovým kompetenciám </w:t>
      </w:r>
      <w:r>
        <w:rPr>
          <w:rFonts w:ascii="Times New Roman" w:hAnsi="Times New Roman" w:cs="Times New Roman"/>
          <w:sz w:val="24"/>
          <w:szCs w:val="24"/>
        </w:rPr>
        <w:t xml:space="preserve">v rámci </w:t>
      </w:r>
      <w:r w:rsidR="006E5F23">
        <w:rPr>
          <w:rFonts w:ascii="Times New Roman" w:hAnsi="Times New Roman" w:cs="Times New Roman"/>
          <w:sz w:val="24"/>
          <w:szCs w:val="24"/>
        </w:rPr>
        <w:t>tretej úrovne</w:t>
      </w:r>
      <w:r>
        <w:rPr>
          <w:rFonts w:ascii="Times New Roman" w:hAnsi="Times New Roman" w:cs="Times New Roman"/>
          <w:sz w:val="24"/>
          <w:szCs w:val="24"/>
        </w:rPr>
        <w:t xml:space="preserve">, teda na úrovni </w:t>
      </w:r>
      <w:r w:rsidR="006E5F23">
        <w:rPr>
          <w:rFonts w:ascii="Times New Roman" w:hAnsi="Times New Roman" w:cs="Times New Roman"/>
          <w:sz w:val="24"/>
          <w:szCs w:val="24"/>
        </w:rPr>
        <w:t xml:space="preserve">strednej školy </w:t>
      </w:r>
      <w:r>
        <w:rPr>
          <w:rFonts w:ascii="Times New Roman" w:hAnsi="Times New Roman" w:cs="Times New Roman"/>
          <w:sz w:val="24"/>
          <w:szCs w:val="24"/>
        </w:rPr>
        <w:t>.</w:t>
      </w:r>
      <w:r w:rsidR="008A3E25">
        <w:rPr>
          <w:rFonts w:ascii="Times New Roman" w:hAnsi="Times New Roman" w:cs="Times New Roman"/>
          <w:sz w:val="24"/>
          <w:szCs w:val="24"/>
        </w:rPr>
        <w:t xml:space="preserve"> </w:t>
      </w:r>
    </w:p>
    <w:p w:rsidR="006E5F23" w:rsidRDefault="006E5F23" w:rsidP="006E5F23">
      <w:pPr>
        <w:widowControl w:val="0"/>
        <w:autoSpaceDE w:val="0"/>
        <w:autoSpaceDN w:val="0"/>
        <w:adjustRightInd w:val="0"/>
        <w:spacing w:after="0" w:line="239" w:lineRule="auto"/>
        <w:rPr>
          <w:rFonts w:ascii="Cambria" w:hAnsi="Cambria" w:cs="Cambria"/>
          <w:b/>
          <w:bCs/>
          <w:color w:val="4472C4" w:themeColor="accent5"/>
          <w:sz w:val="26"/>
          <w:szCs w:val="26"/>
        </w:rPr>
      </w:pPr>
      <w:r w:rsidRPr="004058D2">
        <w:rPr>
          <w:rFonts w:ascii="Cambria" w:hAnsi="Cambria" w:cs="Cambria"/>
          <w:b/>
          <w:bCs/>
          <w:color w:val="4472C4" w:themeColor="accent5"/>
          <w:sz w:val="26"/>
          <w:szCs w:val="26"/>
        </w:rPr>
        <w:t>3. Rozhodovanie a hospodárenie spotrebiteľov</w:t>
      </w:r>
    </w:p>
    <w:p w:rsidR="008A3E25" w:rsidRPr="004058D2" w:rsidRDefault="008A3E25" w:rsidP="006E5F23">
      <w:pPr>
        <w:widowControl w:val="0"/>
        <w:autoSpaceDE w:val="0"/>
        <w:autoSpaceDN w:val="0"/>
        <w:adjustRightInd w:val="0"/>
        <w:spacing w:after="0" w:line="239" w:lineRule="auto"/>
        <w:rPr>
          <w:rFonts w:ascii="Cambria" w:hAnsi="Cambria" w:cs="Cambria"/>
          <w:b/>
          <w:bCs/>
          <w:color w:val="4472C4" w:themeColor="accent5"/>
          <w:sz w:val="26"/>
          <w:szCs w:val="26"/>
        </w:rPr>
      </w:pPr>
    </w:p>
    <w:p w:rsidR="006E5F23" w:rsidRDefault="006E5F23" w:rsidP="006E5F23">
      <w:pPr>
        <w:widowControl w:val="0"/>
        <w:autoSpaceDE w:val="0"/>
        <w:autoSpaceDN w:val="0"/>
        <w:adjustRightInd w:val="0"/>
        <w:spacing w:after="0" w:line="240" w:lineRule="auto"/>
        <w:rPr>
          <w:rFonts w:ascii="Times New Roman" w:hAnsi="Times New Roman"/>
          <w:sz w:val="24"/>
          <w:szCs w:val="24"/>
        </w:rPr>
      </w:pPr>
    </w:p>
    <w:p w:rsidR="006E5F23" w:rsidRPr="00052931" w:rsidRDefault="006E5F23" w:rsidP="006E5F23">
      <w:pPr>
        <w:widowControl w:val="0"/>
        <w:autoSpaceDE w:val="0"/>
        <w:autoSpaceDN w:val="0"/>
        <w:adjustRightInd w:val="0"/>
        <w:spacing w:after="0" w:line="240" w:lineRule="auto"/>
        <w:rPr>
          <w:rFonts w:ascii="Times New Roman" w:hAnsi="Times New Roman"/>
          <w:sz w:val="24"/>
          <w:szCs w:val="24"/>
        </w:rPr>
      </w:pPr>
      <w:r w:rsidRPr="00052931">
        <w:rPr>
          <w:rFonts w:ascii="Times New Roman" w:hAnsi="Times New Roman"/>
          <w:b/>
          <w:bCs/>
          <w:i/>
          <w:iCs/>
          <w:sz w:val="24"/>
          <w:szCs w:val="24"/>
          <w:u w:val="single"/>
        </w:rPr>
        <w:t>Celková kompetencia</w:t>
      </w:r>
    </w:p>
    <w:p w:rsidR="006E5F23" w:rsidRPr="00052931" w:rsidRDefault="006E5F23" w:rsidP="006E5F23">
      <w:pPr>
        <w:widowControl w:val="0"/>
        <w:autoSpaceDE w:val="0"/>
        <w:autoSpaceDN w:val="0"/>
        <w:adjustRightInd w:val="0"/>
        <w:spacing w:after="0" w:line="338" w:lineRule="exact"/>
        <w:rPr>
          <w:rFonts w:ascii="Times New Roman" w:hAnsi="Times New Roman"/>
          <w:sz w:val="24"/>
          <w:szCs w:val="24"/>
        </w:rPr>
      </w:pPr>
    </w:p>
    <w:p w:rsidR="006E5F23" w:rsidRPr="00052931" w:rsidRDefault="006E5F23" w:rsidP="006E5F23">
      <w:pPr>
        <w:widowControl w:val="0"/>
        <w:overflowPunct w:val="0"/>
        <w:autoSpaceDE w:val="0"/>
        <w:autoSpaceDN w:val="0"/>
        <w:adjustRightInd w:val="0"/>
        <w:spacing w:after="0" w:line="240" w:lineRule="auto"/>
        <w:ind w:right="20"/>
        <w:jc w:val="both"/>
        <w:rPr>
          <w:rFonts w:ascii="Times New Roman" w:hAnsi="Times New Roman"/>
          <w:b/>
          <w:bCs/>
          <w:i/>
          <w:iCs/>
          <w:sz w:val="24"/>
          <w:szCs w:val="24"/>
        </w:rPr>
      </w:pPr>
      <w:r w:rsidRPr="00052931">
        <w:rPr>
          <w:rFonts w:ascii="Times New Roman" w:hAnsi="Times New Roman"/>
          <w:b/>
          <w:bCs/>
          <w:i/>
          <w:iCs/>
          <w:sz w:val="24"/>
          <w:szCs w:val="24"/>
        </w:rPr>
        <w:t xml:space="preserve">Porozumenie a orientovanie sa v zabezpečovaní životných potrieb jednotlivca a rodiny </w:t>
      </w:r>
    </w:p>
    <w:p w:rsidR="006E5F23" w:rsidRPr="00052931" w:rsidRDefault="006E5F23" w:rsidP="006E5F23">
      <w:pPr>
        <w:widowControl w:val="0"/>
        <w:autoSpaceDE w:val="0"/>
        <w:autoSpaceDN w:val="0"/>
        <w:adjustRightInd w:val="0"/>
        <w:spacing w:after="0" w:line="240" w:lineRule="auto"/>
        <w:rPr>
          <w:rFonts w:ascii="Times New Roman" w:hAnsi="Times New Roman"/>
          <w:sz w:val="24"/>
          <w:szCs w:val="24"/>
        </w:rPr>
      </w:pPr>
    </w:p>
    <w:p w:rsidR="006E5F23" w:rsidRPr="00052931" w:rsidRDefault="006E5F23" w:rsidP="00E1002C">
      <w:pPr>
        <w:widowControl w:val="0"/>
        <w:autoSpaceDE w:val="0"/>
        <w:autoSpaceDN w:val="0"/>
        <w:adjustRightInd w:val="0"/>
        <w:spacing w:after="120" w:line="360" w:lineRule="auto"/>
        <w:rPr>
          <w:rFonts w:ascii="Times New Roman" w:hAnsi="Times New Roman"/>
          <w:sz w:val="24"/>
          <w:szCs w:val="24"/>
        </w:rPr>
      </w:pPr>
      <w:r w:rsidRPr="00052931">
        <w:rPr>
          <w:rFonts w:ascii="Times New Roman" w:hAnsi="Times New Roman"/>
          <w:sz w:val="24"/>
          <w:szCs w:val="24"/>
        </w:rPr>
        <w:t>Čiastková kompetencia 1:   Poznať a</w:t>
      </w:r>
      <w:r>
        <w:rPr>
          <w:rFonts w:ascii="Times New Roman" w:hAnsi="Times New Roman"/>
          <w:sz w:val="24"/>
          <w:szCs w:val="24"/>
        </w:rPr>
        <w:t xml:space="preserve"> zosúladiť </w:t>
      </w:r>
      <w:r w:rsidRPr="00052931">
        <w:rPr>
          <w:rFonts w:ascii="Times New Roman" w:hAnsi="Times New Roman"/>
          <w:sz w:val="24"/>
          <w:szCs w:val="24"/>
        </w:rPr>
        <w:t>osobné, rodinné, spoločenské potreby</w:t>
      </w:r>
    </w:p>
    <w:p w:rsidR="006E5F23" w:rsidRPr="006E5F23" w:rsidRDefault="006E5F23" w:rsidP="00E1002C">
      <w:pPr>
        <w:widowControl w:val="0"/>
        <w:autoSpaceDE w:val="0"/>
        <w:autoSpaceDN w:val="0"/>
        <w:adjustRightInd w:val="0"/>
        <w:spacing w:after="120" w:line="360" w:lineRule="auto"/>
        <w:ind w:left="2694" w:hanging="2694"/>
        <w:rPr>
          <w:rFonts w:ascii="Times New Roman" w:hAnsi="Times New Roman"/>
          <w:bCs/>
          <w:iCs/>
          <w:sz w:val="24"/>
          <w:szCs w:val="24"/>
        </w:rPr>
      </w:pPr>
      <w:r w:rsidRPr="00052931">
        <w:rPr>
          <w:rFonts w:ascii="Times New Roman" w:hAnsi="Times New Roman"/>
          <w:bCs/>
          <w:iCs/>
          <w:sz w:val="24"/>
          <w:szCs w:val="24"/>
        </w:rPr>
        <w:t>Čiastková kompetencia 2:</w:t>
      </w:r>
      <w:r w:rsidRPr="00052931">
        <w:rPr>
          <w:rFonts w:ascii="Times New Roman" w:hAnsi="Times New Roman"/>
          <w:bCs/>
          <w:iCs/>
          <w:sz w:val="24"/>
          <w:szCs w:val="24"/>
        </w:rPr>
        <w:tab/>
        <w:t>Prijímať finančné rozhodnutia zvažovaním alternatív a ich dôsledkov</w:t>
      </w:r>
    </w:p>
    <w:p w:rsidR="006E5F23" w:rsidRPr="00052931" w:rsidRDefault="006E5F23" w:rsidP="00E1002C">
      <w:pPr>
        <w:widowControl w:val="0"/>
        <w:autoSpaceDE w:val="0"/>
        <w:autoSpaceDN w:val="0"/>
        <w:adjustRightInd w:val="0"/>
        <w:spacing w:after="120" w:line="360" w:lineRule="auto"/>
        <w:rPr>
          <w:rFonts w:ascii="Times New Roman" w:hAnsi="Times New Roman"/>
          <w:sz w:val="24"/>
          <w:szCs w:val="24"/>
        </w:rPr>
      </w:pPr>
      <w:r w:rsidRPr="00052931">
        <w:rPr>
          <w:rFonts w:ascii="Times New Roman" w:hAnsi="Times New Roman"/>
          <w:sz w:val="24"/>
          <w:szCs w:val="24"/>
        </w:rPr>
        <w:t xml:space="preserve">Čiastková kompetencia 3:    Uplatniť spotrebiteľské zručnosti pri zodpovednom rozhodovaní  </w:t>
      </w:r>
      <w:r w:rsidR="00E1002C">
        <w:rPr>
          <w:rFonts w:ascii="Times New Roman" w:hAnsi="Times New Roman"/>
          <w:sz w:val="24"/>
          <w:szCs w:val="24"/>
        </w:rPr>
        <w:t>o nákupe</w:t>
      </w:r>
    </w:p>
    <w:p w:rsidR="00883F14" w:rsidRDefault="006E5F23" w:rsidP="008A3E25">
      <w:pPr>
        <w:widowControl w:val="0"/>
        <w:autoSpaceDE w:val="0"/>
        <w:autoSpaceDN w:val="0"/>
        <w:adjustRightInd w:val="0"/>
        <w:spacing w:after="120" w:line="360" w:lineRule="auto"/>
        <w:rPr>
          <w:rFonts w:ascii="Times New Roman" w:hAnsi="Times New Roman"/>
          <w:sz w:val="24"/>
          <w:szCs w:val="24"/>
        </w:rPr>
      </w:pPr>
      <w:r w:rsidRPr="00052931">
        <w:rPr>
          <w:rFonts w:ascii="Times New Roman" w:hAnsi="Times New Roman"/>
          <w:sz w:val="24"/>
          <w:szCs w:val="24"/>
        </w:rPr>
        <w:t>Čiastková kompetencia 4:    Popísať používanie rôznych metód platenia</w:t>
      </w:r>
    </w:p>
    <w:p w:rsidR="0037459D" w:rsidRDefault="0037459D" w:rsidP="00DD37A7">
      <w:pPr>
        <w:jc w:val="both"/>
        <w:rPr>
          <w:rFonts w:ascii="Times New Roman" w:hAnsi="Times New Roman" w:cs="Times New Roman"/>
          <w:sz w:val="24"/>
          <w:szCs w:val="24"/>
        </w:rPr>
      </w:pPr>
    </w:p>
    <w:tbl>
      <w:tblPr>
        <w:tblW w:w="16210" w:type="dxa"/>
        <w:tblCellMar>
          <w:left w:w="70" w:type="dxa"/>
          <w:right w:w="70" w:type="dxa"/>
        </w:tblCellMar>
        <w:tblLook w:val="04A0" w:firstRow="1" w:lastRow="0" w:firstColumn="1" w:lastColumn="0" w:noHBand="0" w:noVBand="1"/>
      </w:tblPr>
      <w:tblGrid>
        <w:gridCol w:w="4280"/>
        <w:gridCol w:w="1590"/>
        <w:gridCol w:w="1160"/>
        <w:gridCol w:w="1020"/>
        <w:gridCol w:w="1020"/>
        <w:gridCol w:w="1020"/>
        <w:gridCol w:w="1020"/>
        <w:gridCol w:w="1020"/>
        <w:gridCol w:w="1020"/>
        <w:gridCol w:w="1020"/>
        <w:gridCol w:w="1020"/>
        <w:gridCol w:w="1020"/>
      </w:tblGrid>
      <w:tr w:rsidR="00FC6561" w:rsidRPr="00FC6561" w:rsidTr="003E1C31">
        <w:trPr>
          <w:trHeight w:val="880"/>
        </w:trPr>
        <w:tc>
          <w:tcPr>
            <w:tcW w:w="4280" w:type="dxa"/>
            <w:tcBorders>
              <w:top w:val="single" w:sz="8" w:space="0" w:color="auto"/>
              <w:left w:val="single" w:sz="8" w:space="0" w:color="auto"/>
              <w:bottom w:val="single" w:sz="8"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sz w:val="24"/>
                <w:szCs w:val="24"/>
                <w:lang w:eastAsia="sk-SK"/>
              </w:rPr>
            </w:pPr>
            <w:r w:rsidRPr="00FC6561">
              <w:rPr>
                <w:rFonts w:ascii="Calibri" w:eastAsia="Times New Roman" w:hAnsi="Calibri" w:cs="Calibri"/>
                <w:b/>
                <w:bCs/>
                <w:color w:val="000000"/>
                <w:sz w:val="24"/>
                <w:szCs w:val="24"/>
                <w:lang w:eastAsia="sk-SK"/>
              </w:rPr>
              <w:t>Organizácia / Téma</w:t>
            </w:r>
          </w:p>
        </w:tc>
        <w:tc>
          <w:tcPr>
            <w:tcW w:w="159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Rozhodovanie a hospodárenie spotrebiteľov</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Calibri" w:eastAsia="Times New Roman" w:hAnsi="Calibri" w:cs="Calibri"/>
                <w:color w:val="000000"/>
                <w:lang w:eastAsia="sk-SK"/>
              </w:rPr>
            </w:pPr>
            <w:r w:rsidRPr="00FC6561">
              <w:rPr>
                <w:rFonts w:ascii="Calibri" w:eastAsia="Times New Roman" w:hAnsi="Calibri" w:cs="Calibri"/>
                <w:noProof/>
                <w:color w:val="000000"/>
                <w:lang w:eastAsia="sk-SK"/>
              </w:rPr>
              <w:drawing>
                <wp:anchor distT="0" distB="0" distL="114300" distR="114300" simplePos="0" relativeHeight="251663360" behindDoc="0" locked="0" layoutInCell="1" allowOverlap="1">
                  <wp:simplePos x="0" y="0"/>
                  <wp:positionH relativeFrom="column">
                    <wp:posOffset>4445</wp:posOffset>
                  </wp:positionH>
                  <wp:positionV relativeFrom="paragraph">
                    <wp:posOffset>-366395</wp:posOffset>
                  </wp:positionV>
                  <wp:extent cx="6195695" cy="6390640"/>
                  <wp:effectExtent l="0" t="0" r="14605" b="10160"/>
                  <wp:wrapNone/>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20"/>
            </w:tblGrid>
            <w:tr w:rsidR="00FC6561" w:rsidRPr="00FC6561">
              <w:trPr>
                <w:trHeight w:val="880"/>
                <w:tblCellSpacing w:w="0" w:type="dxa"/>
              </w:trPr>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Calibri" w:eastAsia="Times New Roman" w:hAnsi="Calibri" w:cs="Calibri"/>
                      <w:color w:val="000000"/>
                      <w:lang w:eastAsia="sk-SK"/>
                    </w:rPr>
                  </w:pPr>
                </w:p>
              </w:tc>
            </w:tr>
          </w:tbl>
          <w:p w:rsidR="00FC6561" w:rsidRPr="00FC6561" w:rsidRDefault="00FC6561" w:rsidP="00FC6561">
            <w:pPr>
              <w:spacing w:after="0" w:line="240" w:lineRule="auto"/>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Nadácia pre deti Slovenska</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100%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Nadácia Slovenskej sporiteľne</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50%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Slovenská banková asociácia</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33%</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 xml:space="preserve">OVB </w:t>
            </w:r>
            <w:proofErr w:type="spellStart"/>
            <w:r w:rsidRPr="00FC6561">
              <w:rPr>
                <w:rFonts w:ascii="Calibri" w:eastAsia="Times New Roman" w:hAnsi="Calibri" w:cs="Calibri"/>
                <w:b/>
                <w:bCs/>
                <w:color w:val="000000"/>
                <w:lang w:eastAsia="sk-SK"/>
              </w:rPr>
              <w:t>Allfinanz</w:t>
            </w:r>
            <w:proofErr w:type="spellEnd"/>
            <w:r w:rsidRPr="00FC6561">
              <w:rPr>
                <w:rFonts w:ascii="Calibri" w:eastAsia="Times New Roman" w:hAnsi="Calibri" w:cs="Calibri"/>
                <w:b/>
                <w:bCs/>
                <w:color w:val="000000"/>
                <w:lang w:eastAsia="sk-SK"/>
              </w:rPr>
              <w:t xml:space="preserve"> Slovensko a. s. </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0A36A7" w:rsidP="00FC6561">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83</w:t>
            </w:r>
            <w:r w:rsidR="00FC6561" w:rsidRPr="00FC6561">
              <w:rPr>
                <w:rFonts w:ascii="Calibri" w:eastAsia="Times New Roman" w:hAnsi="Calibri" w:cs="Calibri"/>
                <w:b/>
                <w:bCs/>
                <w:color w:val="000000"/>
                <w:lang w:eastAsia="sk-SK"/>
              </w:rPr>
              <w:t>%</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roofErr w:type="spellStart"/>
            <w:r w:rsidRPr="00FC6561">
              <w:rPr>
                <w:rFonts w:ascii="Calibri" w:eastAsia="Times New Roman" w:hAnsi="Calibri" w:cs="Calibri"/>
                <w:b/>
                <w:bCs/>
                <w:color w:val="000000"/>
                <w:lang w:eastAsia="sk-SK"/>
              </w:rPr>
              <w:t>Minist</w:t>
            </w:r>
            <w:proofErr w:type="spellEnd"/>
            <w:r w:rsidRPr="00FC6561">
              <w:rPr>
                <w:rFonts w:ascii="Calibri" w:eastAsia="Times New Roman" w:hAnsi="Calibri" w:cs="Calibri"/>
                <w:b/>
                <w:bCs/>
                <w:color w:val="000000"/>
                <w:lang w:eastAsia="sk-SK"/>
              </w:rPr>
              <w:t>. financií SR.-</w:t>
            </w:r>
            <w:proofErr w:type="spellStart"/>
            <w:r w:rsidRPr="00FC6561">
              <w:rPr>
                <w:rFonts w:ascii="Calibri" w:eastAsia="Times New Roman" w:hAnsi="Calibri" w:cs="Calibri"/>
                <w:b/>
                <w:bCs/>
                <w:color w:val="000000"/>
                <w:lang w:eastAsia="sk-SK"/>
              </w:rPr>
              <w:t>Odb.ochrany</w:t>
            </w:r>
            <w:proofErr w:type="spellEnd"/>
            <w:r w:rsidRPr="00FC6561">
              <w:rPr>
                <w:rFonts w:ascii="Calibri" w:eastAsia="Times New Roman" w:hAnsi="Calibri" w:cs="Calibri"/>
                <w:b/>
                <w:bCs/>
                <w:color w:val="000000"/>
                <w:lang w:eastAsia="sk-SK"/>
              </w:rPr>
              <w:t xml:space="preserve"> </w:t>
            </w:r>
            <w:proofErr w:type="spellStart"/>
            <w:r w:rsidRPr="00FC6561">
              <w:rPr>
                <w:rFonts w:ascii="Calibri" w:eastAsia="Times New Roman" w:hAnsi="Calibri" w:cs="Calibri"/>
                <w:b/>
                <w:bCs/>
                <w:color w:val="000000"/>
                <w:lang w:eastAsia="sk-SK"/>
              </w:rPr>
              <w:t>fin.spotreb</w:t>
            </w:r>
            <w:proofErr w:type="spellEnd"/>
            <w:r w:rsidRPr="00FC6561">
              <w:rPr>
                <w:rFonts w:ascii="Calibri" w:eastAsia="Times New Roman" w:hAnsi="Calibri" w:cs="Calibri"/>
                <w:b/>
                <w:bCs/>
                <w:color w:val="000000"/>
                <w:lang w:eastAsia="sk-SK"/>
              </w:rPr>
              <w:t>.</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17%</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NBS-odbor ochrany slovenských spotrebiteľ.</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67%</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Metodicko-pedagogické centrum</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33%</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Finančné riaditeľstvo SR</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CKÚ OLAF ÚV SR</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Odbor prevencie korupcie ÚV SR</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Štátna školská inšpekcia</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 xml:space="preserve">Ministerstvo hospodárstva SR </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8%</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JA Slovensko</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100%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 xml:space="preserve"> Úrad </w:t>
            </w:r>
            <w:proofErr w:type="spellStart"/>
            <w:r w:rsidRPr="00FC6561">
              <w:rPr>
                <w:rFonts w:ascii="Calibri" w:eastAsia="Times New Roman" w:hAnsi="Calibri" w:cs="Calibri"/>
                <w:color w:val="000000"/>
                <w:lang w:eastAsia="sk-SK"/>
              </w:rPr>
              <w:t>splnomoc</w:t>
            </w:r>
            <w:proofErr w:type="spellEnd"/>
            <w:r w:rsidRPr="00FC6561">
              <w:rPr>
                <w:rFonts w:ascii="Calibri" w:eastAsia="Times New Roman" w:hAnsi="Calibri" w:cs="Calibri"/>
                <w:color w:val="000000"/>
                <w:lang w:eastAsia="sk-SK"/>
              </w:rPr>
              <w:t xml:space="preserve">. vlády SR pre </w:t>
            </w:r>
            <w:proofErr w:type="spellStart"/>
            <w:r w:rsidRPr="00FC6561">
              <w:rPr>
                <w:rFonts w:ascii="Calibri" w:eastAsia="Times New Roman" w:hAnsi="Calibri" w:cs="Calibri"/>
                <w:color w:val="000000"/>
                <w:lang w:eastAsia="sk-SK"/>
              </w:rPr>
              <w:t>róm</w:t>
            </w:r>
            <w:proofErr w:type="spellEnd"/>
            <w:r w:rsidRPr="00FC6561">
              <w:rPr>
                <w:rFonts w:ascii="Calibri" w:eastAsia="Times New Roman" w:hAnsi="Calibri" w:cs="Calibri"/>
                <w:color w:val="000000"/>
                <w:lang w:eastAsia="sk-SK"/>
              </w:rPr>
              <w:t>. komunity</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NÚCEM</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SLASPO - Slovenská asociácia poisťovní</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color w:val="000000"/>
                <w:lang w:eastAsia="sk-SK"/>
              </w:rPr>
            </w:pPr>
            <w:r w:rsidRPr="00FC6561">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ŠIOV - FG a SCCF</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25%</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nil"/>
              <w:left w:val="single" w:sz="8" w:space="0" w:color="auto"/>
              <w:bottom w:val="nil"/>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EUBA - Ekonomická Univerzita</w:t>
            </w:r>
          </w:p>
        </w:tc>
        <w:tc>
          <w:tcPr>
            <w:tcW w:w="1590" w:type="dxa"/>
            <w:tcBorders>
              <w:top w:val="nil"/>
              <w:left w:val="single" w:sz="4" w:space="0" w:color="auto"/>
              <w:bottom w:val="single" w:sz="4"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33%</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r w:rsidR="00FC6561" w:rsidRPr="00FC6561" w:rsidTr="003E1C31">
        <w:trPr>
          <w:trHeight w:val="379"/>
        </w:trPr>
        <w:tc>
          <w:tcPr>
            <w:tcW w:w="4280" w:type="dxa"/>
            <w:tcBorders>
              <w:top w:val="single" w:sz="4" w:space="0" w:color="auto"/>
              <w:left w:val="single" w:sz="8" w:space="0" w:color="auto"/>
              <w:bottom w:val="single" w:sz="8" w:space="0" w:color="auto"/>
              <w:right w:val="nil"/>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ŠPÚ - Štátny pedagogický ústav</w:t>
            </w:r>
          </w:p>
        </w:tc>
        <w:tc>
          <w:tcPr>
            <w:tcW w:w="1590" w:type="dxa"/>
            <w:tcBorders>
              <w:top w:val="nil"/>
              <w:left w:val="single" w:sz="4" w:space="0" w:color="auto"/>
              <w:bottom w:val="single" w:sz="8" w:space="0" w:color="auto"/>
              <w:right w:val="single" w:sz="8" w:space="0" w:color="auto"/>
            </w:tcBorders>
            <w:shd w:val="clear" w:color="auto" w:fill="auto"/>
            <w:noWrap/>
            <w:vAlign w:val="center"/>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r w:rsidRPr="00FC6561">
              <w:rPr>
                <w:rFonts w:ascii="Calibri" w:eastAsia="Times New Roman" w:hAnsi="Calibri" w:cs="Calibri"/>
                <w:b/>
                <w:bCs/>
                <w:color w:val="000000"/>
                <w:lang w:eastAsia="sk-SK"/>
              </w:rPr>
              <w:t>67%</w:t>
            </w:r>
          </w:p>
        </w:tc>
        <w:tc>
          <w:tcPr>
            <w:tcW w:w="116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FC6561" w:rsidRPr="00FC6561" w:rsidRDefault="00FC6561" w:rsidP="00FC6561">
            <w:pPr>
              <w:spacing w:after="0" w:line="240" w:lineRule="auto"/>
              <w:rPr>
                <w:rFonts w:ascii="Times New Roman" w:eastAsia="Times New Roman" w:hAnsi="Times New Roman" w:cs="Times New Roman"/>
                <w:sz w:val="20"/>
                <w:szCs w:val="20"/>
                <w:lang w:eastAsia="sk-SK"/>
              </w:rPr>
            </w:pPr>
          </w:p>
        </w:tc>
      </w:tr>
    </w:tbl>
    <w:p w:rsidR="00243CA9" w:rsidRDefault="00243CA9" w:rsidP="00DD37A7">
      <w:pPr>
        <w:jc w:val="both"/>
        <w:rPr>
          <w:rFonts w:ascii="Times New Roman" w:hAnsi="Times New Roman" w:cs="Times New Roman"/>
          <w:sz w:val="24"/>
          <w:szCs w:val="24"/>
        </w:rPr>
      </w:pPr>
    </w:p>
    <w:p w:rsidR="006E5F23" w:rsidRDefault="006E5F23" w:rsidP="0009411B">
      <w:pPr>
        <w:spacing w:after="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Tretej téme NŠFG 1.2  a jeho čiastkovým kompetenciám sa venuje na 100 % </w:t>
      </w:r>
      <w:r w:rsidRPr="0037459D">
        <w:rPr>
          <w:rFonts w:ascii="Times New Roman" w:hAnsi="Times New Roman" w:cs="Times New Roman"/>
          <w:b/>
          <w:sz w:val="24"/>
          <w:szCs w:val="24"/>
        </w:rPr>
        <w:t>Nadácia pre deti Slovenska</w:t>
      </w:r>
      <w:r>
        <w:rPr>
          <w:rFonts w:ascii="Times New Roman" w:hAnsi="Times New Roman" w:cs="Times New Roman"/>
          <w:b/>
          <w:sz w:val="24"/>
          <w:szCs w:val="24"/>
        </w:rPr>
        <w:t xml:space="preserve"> </w:t>
      </w:r>
      <w:r w:rsidRPr="006E5F23">
        <w:rPr>
          <w:rFonts w:ascii="Times New Roman" w:hAnsi="Times New Roman" w:cs="Times New Roman"/>
          <w:sz w:val="24"/>
          <w:szCs w:val="24"/>
        </w:rPr>
        <w:t>a takisto</w:t>
      </w:r>
      <w:r>
        <w:rPr>
          <w:rFonts w:ascii="Times New Roman" w:hAnsi="Times New Roman" w:cs="Times New Roman"/>
          <w:b/>
          <w:sz w:val="24"/>
          <w:szCs w:val="24"/>
        </w:rPr>
        <w:t xml:space="preserve"> JA SR</w:t>
      </w:r>
      <w:r w:rsidRPr="0037459D">
        <w:rPr>
          <w:rFonts w:ascii="Times New Roman" w:hAnsi="Times New Roman" w:cs="Times New Roman"/>
          <w:b/>
          <w:sz w:val="24"/>
          <w:szCs w:val="24"/>
        </w:rPr>
        <w:t>.</w:t>
      </w:r>
      <w:r>
        <w:rPr>
          <w:rFonts w:ascii="Times New Roman" w:hAnsi="Times New Roman" w:cs="Times New Roman"/>
          <w:b/>
          <w:sz w:val="24"/>
          <w:szCs w:val="24"/>
        </w:rPr>
        <w:t xml:space="preserve"> </w:t>
      </w:r>
    </w:p>
    <w:p w:rsidR="006E5F23" w:rsidRDefault="003E1C31" w:rsidP="0009411B">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OVB </w:t>
      </w:r>
      <w:r w:rsidRPr="003E1C31">
        <w:rPr>
          <w:rFonts w:ascii="Times New Roman" w:hAnsi="Times New Roman" w:cs="Times New Roman"/>
          <w:sz w:val="24"/>
          <w:szCs w:val="24"/>
        </w:rPr>
        <w:t>sa danej téme venuje na</w:t>
      </w:r>
      <w:r>
        <w:rPr>
          <w:rFonts w:ascii="Times New Roman" w:hAnsi="Times New Roman" w:cs="Times New Roman"/>
          <w:b/>
          <w:sz w:val="24"/>
          <w:szCs w:val="24"/>
        </w:rPr>
        <w:t xml:space="preserve"> 83</w:t>
      </w:r>
      <w:r>
        <w:rPr>
          <w:rFonts w:ascii="Times New Roman" w:hAnsi="Times New Roman" w:cs="Times New Roman"/>
          <w:sz w:val="24"/>
          <w:szCs w:val="24"/>
        </w:rPr>
        <w:t xml:space="preserve"> %, lebo sa venuje ZŠ aj SŠ </w:t>
      </w:r>
      <w:r w:rsidR="00243CA9">
        <w:rPr>
          <w:rFonts w:ascii="Times New Roman" w:hAnsi="Times New Roman" w:cs="Times New Roman"/>
          <w:b/>
          <w:sz w:val="24"/>
          <w:szCs w:val="24"/>
        </w:rPr>
        <w:t xml:space="preserve">Národná banka Slovenska (NBS) a ŠPÚ </w:t>
      </w:r>
      <w:r w:rsidR="00243CA9" w:rsidRPr="00243CA9">
        <w:rPr>
          <w:rFonts w:ascii="Times New Roman" w:hAnsi="Times New Roman" w:cs="Times New Roman"/>
          <w:sz w:val="24"/>
          <w:szCs w:val="24"/>
        </w:rPr>
        <w:t>sa tretej téme a</w:t>
      </w:r>
      <w:r w:rsidR="00243CA9">
        <w:rPr>
          <w:rFonts w:ascii="Times New Roman" w:hAnsi="Times New Roman" w:cs="Times New Roman"/>
          <w:b/>
          <w:sz w:val="24"/>
          <w:szCs w:val="24"/>
        </w:rPr>
        <w:t xml:space="preserve"> </w:t>
      </w:r>
      <w:r w:rsidR="00243CA9">
        <w:rPr>
          <w:rFonts w:ascii="Times New Roman" w:hAnsi="Times New Roman" w:cs="Times New Roman"/>
          <w:sz w:val="24"/>
          <w:szCs w:val="24"/>
        </w:rPr>
        <w:t xml:space="preserve">jeho čiastkovým kompetenciám sa venuje na 67 %. </w:t>
      </w:r>
      <w:r w:rsidR="00243CA9" w:rsidRPr="00295098">
        <w:rPr>
          <w:rFonts w:ascii="Times New Roman" w:hAnsi="Times New Roman" w:cs="Times New Roman"/>
          <w:b/>
          <w:sz w:val="24"/>
          <w:szCs w:val="24"/>
        </w:rPr>
        <w:t>NBS</w:t>
      </w:r>
      <w:r w:rsidR="00243CA9">
        <w:rPr>
          <w:rFonts w:ascii="Times New Roman" w:hAnsi="Times New Roman" w:cs="Times New Roman"/>
          <w:sz w:val="24"/>
          <w:szCs w:val="24"/>
        </w:rPr>
        <w:t xml:space="preserve"> sa prvej čiastkovej kompetencii</w:t>
      </w:r>
      <w:r w:rsidR="00295098">
        <w:rPr>
          <w:rFonts w:ascii="Times New Roman" w:hAnsi="Times New Roman" w:cs="Times New Roman"/>
          <w:sz w:val="24"/>
          <w:szCs w:val="24"/>
        </w:rPr>
        <w:t xml:space="preserve"> tretej témy</w:t>
      </w:r>
      <w:r w:rsidR="00243CA9">
        <w:rPr>
          <w:rFonts w:ascii="Times New Roman" w:hAnsi="Times New Roman" w:cs="Times New Roman"/>
          <w:sz w:val="24"/>
          <w:szCs w:val="24"/>
        </w:rPr>
        <w:t xml:space="preserve"> venuje len prvej úrovni, teda prvému stupňu základnej školy, </w:t>
      </w:r>
      <w:r w:rsidR="00295098">
        <w:rPr>
          <w:rFonts w:ascii="Times New Roman" w:hAnsi="Times New Roman" w:cs="Times New Roman"/>
          <w:sz w:val="24"/>
          <w:szCs w:val="24"/>
        </w:rPr>
        <w:t>v druhej čiastkovej kompetencii sa nevenuje tretej úrovni, teda strednej škole a v tretej čiastkovej kompetencii sa nezaoberá druhou úrovňou, teda druhým stupňom ZŠ.</w:t>
      </w:r>
    </w:p>
    <w:p w:rsidR="00295098" w:rsidRDefault="00295098" w:rsidP="0009411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ŠPÚ sa tretej téme venuje vo všetkých štyroch čiastkových kompetenciách v rámci prvej a druhej úrovne, na úrovni základnej školy.</w:t>
      </w:r>
    </w:p>
    <w:p w:rsidR="008D1275" w:rsidRDefault="00295098" w:rsidP="0009411B">
      <w:pPr>
        <w:spacing w:after="120" w:line="360" w:lineRule="auto"/>
        <w:jc w:val="both"/>
        <w:rPr>
          <w:rFonts w:ascii="Times New Roman" w:hAnsi="Times New Roman" w:cs="Times New Roman"/>
          <w:sz w:val="24"/>
          <w:szCs w:val="24"/>
        </w:rPr>
      </w:pPr>
      <w:r w:rsidRPr="00295098">
        <w:rPr>
          <w:rFonts w:ascii="Times New Roman" w:hAnsi="Times New Roman" w:cs="Times New Roman"/>
          <w:b/>
          <w:sz w:val="24"/>
          <w:szCs w:val="24"/>
        </w:rPr>
        <w:t xml:space="preserve">Nadácia Slovenskej sporiteľne (Nadácia SĽSP) </w:t>
      </w:r>
      <w:r w:rsidRPr="00295098">
        <w:rPr>
          <w:rFonts w:ascii="Times New Roman" w:hAnsi="Times New Roman" w:cs="Times New Roman"/>
          <w:sz w:val="24"/>
          <w:szCs w:val="24"/>
        </w:rPr>
        <w:t>sa v danej téme v rámci 1., 2. a 4. čiastkovej kompetencie nevenuje prvej úrovni, prvému stupňu ZŠ. Nezaoberá sa treťou čiastkovou kompetenciou.</w:t>
      </w:r>
    </w:p>
    <w:p w:rsidR="008D1275" w:rsidRDefault="008D1275" w:rsidP="008D1275">
      <w:pPr>
        <w:widowControl w:val="0"/>
        <w:autoSpaceDE w:val="0"/>
        <w:autoSpaceDN w:val="0"/>
        <w:adjustRightInd w:val="0"/>
        <w:spacing w:after="0" w:line="239" w:lineRule="auto"/>
        <w:rPr>
          <w:rFonts w:ascii="Cambria" w:hAnsi="Cambria" w:cs="Cambria"/>
          <w:b/>
          <w:bCs/>
          <w:color w:val="4472C4" w:themeColor="accent5"/>
          <w:sz w:val="26"/>
          <w:szCs w:val="26"/>
        </w:rPr>
      </w:pPr>
      <w:r w:rsidRPr="004058D2">
        <w:rPr>
          <w:rFonts w:ascii="Cambria" w:hAnsi="Cambria" w:cs="Cambria"/>
          <w:b/>
          <w:bCs/>
          <w:color w:val="4472C4" w:themeColor="accent5"/>
          <w:sz w:val="26"/>
          <w:szCs w:val="26"/>
        </w:rPr>
        <w:t>4. Úver a</w:t>
      </w:r>
      <w:r w:rsidR="008A3E25">
        <w:rPr>
          <w:rFonts w:ascii="Cambria" w:hAnsi="Cambria" w:cs="Cambria"/>
          <w:b/>
          <w:bCs/>
          <w:color w:val="4472C4" w:themeColor="accent5"/>
          <w:sz w:val="26"/>
          <w:szCs w:val="26"/>
        </w:rPr>
        <w:t> </w:t>
      </w:r>
      <w:r w:rsidRPr="004058D2">
        <w:rPr>
          <w:rFonts w:ascii="Cambria" w:hAnsi="Cambria" w:cs="Cambria"/>
          <w:b/>
          <w:bCs/>
          <w:color w:val="4472C4" w:themeColor="accent5"/>
          <w:sz w:val="26"/>
          <w:szCs w:val="26"/>
        </w:rPr>
        <w:t>dlh</w:t>
      </w:r>
    </w:p>
    <w:p w:rsidR="008A3E25" w:rsidRPr="004058D2" w:rsidRDefault="008A3E25" w:rsidP="008D1275">
      <w:pPr>
        <w:widowControl w:val="0"/>
        <w:autoSpaceDE w:val="0"/>
        <w:autoSpaceDN w:val="0"/>
        <w:adjustRightInd w:val="0"/>
        <w:spacing w:after="0" w:line="239" w:lineRule="auto"/>
        <w:rPr>
          <w:rFonts w:ascii="Cambria" w:hAnsi="Cambria" w:cs="Cambria"/>
          <w:b/>
          <w:bCs/>
          <w:color w:val="4472C4" w:themeColor="accent5"/>
          <w:sz w:val="26"/>
          <w:szCs w:val="26"/>
        </w:rPr>
      </w:pPr>
    </w:p>
    <w:p w:rsidR="008D1275" w:rsidRDefault="008D1275" w:rsidP="008D1275">
      <w:pPr>
        <w:widowControl w:val="0"/>
        <w:autoSpaceDE w:val="0"/>
        <w:autoSpaceDN w:val="0"/>
        <w:adjustRightInd w:val="0"/>
        <w:spacing w:after="0" w:line="276" w:lineRule="exact"/>
        <w:rPr>
          <w:rFonts w:ascii="Times New Roman" w:hAnsi="Times New Roman"/>
          <w:sz w:val="24"/>
          <w:szCs w:val="24"/>
        </w:rPr>
      </w:pPr>
    </w:p>
    <w:p w:rsidR="008D1275" w:rsidRDefault="008D1275" w:rsidP="008D1275">
      <w:pPr>
        <w:widowControl w:val="0"/>
        <w:autoSpaceDE w:val="0"/>
        <w:autoSpaceDN w:val="0"/>
        <w:adjustRightInd w:val="0"/>
        <w:spacing w:after="0" w:line="240" w:lineRule="auto"/>
        <w:rPr>
          <w:rFonts w:ascii="Times New Roman" w:hAnsi="Times New Roman"/>
          <w:b/>
          <w:bCs/>
          <w:i/>
          <w:iCs/>
          <w:sz w:val="24"/>
          <w:szCs w:val="24"/>
          <w:u w:val="single"/>
        </w:rPr>
      </w:pPr>
      <w:r w:rsidRPr="00052931">
        <w:rPr>
          <w:rFonts w:ascii="Times New Roman" w:hAnsi="Times New Roman"/>
          <w:b/>
          <w:bCs/>
          <w:i/>
          <w:iCs/>
          <w:sz w:val="24"/>
          <w:szCs w:val="24"/>
          <w:u w:val="single"/>
        </w:rPr>
        <w:t>Celková kompetencia</w:t>
      </w:r>
    </w:p>
    <w:p w:rsidR="008A3E25" w:rsidRPr="00052931" w:rsidRDefault="008A3E25" w:rsidP="008D1275">
      <w:pPr>
        <w:widowControl w:val="0"/>
        <w:autoSpaceDE w:val="0"/>
        <w:autoSpaceDN w:val="0"/>
        <w:adjustRightInd w:val="0"/>
        <w:spacing w:after="0" w:line="240" w:lineRule="auto"/>
        <w:rPr>
          <w:rFonts w:ascii="Times New Roman" w:hAnsi="Times New Roman"/>
          <w:sz w:val="24"/>
          <w:szCs w:val="24"/>
        </w:rPr>
      </w:pPr>
    </w:p>
    <w:p w:rsidR="008D1275" w:rsidRPr="00052931" w:rsidRDefault="008D1275" w:rsidP="008D1275">
      <w:pPr>
        <w:widowControl w:val="0"/>
        <w:autoSpaceDE w:val="0"/>
        <w:autoSpaceDN w:val="0"/>
        <w:adjustRightInd w:val="0"/>
        <w:spacing w:after="0" w:line="276" w:lineRule="exact"/>
        <w:rPr>
          <w:rFonts w:ascii="Times New Roman" w:hAnsi="Times New Roman"/>
          <w:sz w:val="24"/>
          <w:szCs w:val="24"/>
        </w:rPr>
      </w:pPr>
    </w:p>
    <w:p w:rsidR="008D1275" w:rsidRDefault="008D1275" w:rsidP="008D1275">
      <w:pPr>
        <w:widowControl w:val="0"/>
        <w:autoSpaceDE w:val="0"/>
        <w:autoSpaceDN w:val="0"/>
        <w:adjustRightInd w:val="0"/>
        <w:spacing w:after="0" w:line="240" w:lineRule="auto"/>
        <w:rPr>
          <w:rFonts w:ascii="Times New Roman" w:hAnsi="Times New Roman"/>
          <w:b/>
          <w:bCs/>
          <w:i/>
          <w:iCs/>
          <w:sz w:val="24"/>
          <w:szCs w:val="24"/>
        </w:rPr>
      </w:pPr>
      <w:r w:rsidRPr="00052931">
        <w:rPr>
          <w:rFonts w:ascii="Times New Roman" w:hAnsi="Times New Roman"/>
          <w:b/>
          <w:bCs/>
          <w:i/>
          <w:iCs/>
          <w:sz w:val="24"/>
          <w:szCs w:val="24"/>
        </w:rPr>
        <w:t>Udržanie výhodnosti, požičiavanie za priaznivých podmienok a zvládanie dlhu</w:t>
      </w:r>
    </w:p>
    <w:p w:rsidR="008A3E25" w:rsidRPr="00052931" w:rsidRDefault="008A3E25" w:rsidP="008D1275">
      <w:pPr>
        <w:widowControl w:val="0"/>
        <w:autoSpaceDE w:val="0"/>
        <w:autoSpaceDN w:val="0"/>
        <w:adjustRightInd w:val="0"/>
        <w:spacing w:after="0" w:line="240" w:lineRule="auto"/>
        <w:rPr>
          <w:rFonts w:ascii="Times New Roman" w:hAnsi="Times New Roman"/>
          <w:sz w:val="24"/>
          <w:szCs w:val="24"/>
        </w:rPr>
      </w:pPr>
    </w:p>
    <w:p w:rsidR="008D1275" w:rsidRPr="00052931" w:rsidRDefault="008D1275" w:rsidP="008D1275">
      <w:pPr>
        <w:widowControl w:val="0"/>
        <w:autoSpaceDE w:val="0"/>
        <w:autoSpaceDN w:val="0"/>
        <w:adjustRightInd w:val="0"/>
        <w:spacing w:after="0" w:line="271" w:lineRule="exact"/>
        <w:rPr>
          <w:rFonts w:ascii="Times New Roman" w:hAnsi="Times New Roman"/>
          <w:sz w:val="24"/>
          <w:szCs w:val="24"/>
        </w:rPr>
      </w:pPr>
    </w:p>
    <w:p w:rsidR="008D1275" w:rsidRPr="00052931" w:rsidRDefault="008D1275" w:rsidP="00E1002C">
      <w:pPr>
        <w:widowControl w:val="0"/>
        <w:autoSpaceDE w:val="0"/>
        <w:autoSpaceDN w:val="0"/>
        <w:adjustRightInd w:val="0"/>
        <w:spacing w:after="120" w:line="360" w:lineRule="auto"/>
        <w:ind w:left="2835" w:hanging="2835"/>
        <w:rPr>
          <w:rFonts w:ascii="Times New Roman" w:hAnsi="Times New Roman"/>
          <w:sz w:val="24"/>
          <w:szCs w:val="24"/>
        </w:rPr>
      </w:pPr>
      <w:r w:rsidRPr="00052931">
        <w:rPr>
          <w:rFonts w:ascii="Times New Roman" w:hAnsi="Times New Roman"/>
          <w:sz w:val="24"/>
          <w:szCs w:val="24"/>
        </w:rPr>
        <w:t xml:space="preserve">Čiastková kompetencia 1:     Identifikovať </w:t>
      </w:r>
      <w:r>
        <w:rPr>
          <w:rFonts w:ascii="Times New Roman" w:hAnsi="Times New Roman"/>
          <w:sz w:val="24"/>
          <w:szCs w:val="24"/>
        </w:rPr>
        <w:t xml:space="preserve">riziká, </w:t>
      </w:r>
      <w:r w:rsidRPr="00052931">
        <w:rPr>
          <w:rFonts w:ascii="Times New Roman" w:hAnsi="Times New Roman"/>
          <w:sz w:val="24"/>
          <w:szCs w:val="24"/>
        </w:rPr>
        <w:t xml:space="preserve">prínosy </w:t>
      </w:r>
      <w:r>
        <w:rPr>
          <w:rFonts w:ascii="Times New Roman" w:hAnsi="Times New Roman"/>
          <w:sz w:val="24"/>
          <w:szCs w:val="24"/>
        </w:rPr>
        <w:t xml:space="preserve">a náklady </w:t>
      </w:r>
      <w:r w:rsidRPr="00052931">
        <w:rPr>
          <w:rFonts w:ascii="Times New Roman" w:hAnsi="Times New Roman"/>
          <w:sz w:val="24"/>
          <w:szCs w:val="24"/>
        </w:rPr>
        <w:t>jednotlivých typov úverov</w:t>
      </w:r>
    </w:p>
    <w:tbl>
      <w:tblPr>
        <w:tblW w:w="0" w:type="auto"/>
        <w:tblLayout w:type="fixed"/>
        <w:tblCellMar>
          <w:left w:w="0" w:type="dxa"/>
          <w:right w:w="0" w:type="dxa"/>
        </w:tblCellMar>
        <w:tblLook w:val="0000" w:firstRow="0" w:lastRow="0" w:firstColumn="0" w:lastColumn="0" w:noHBand="0" w:noVBand="0"/>
      </w:tblPr>
      <w:tblGrid>
        <w:gridCol w:w="2660"/>
        <w:gridCol w:w="780"/>
        <w:gridCol w:w="1200"/>
        <w:gridCol w:w="1420"/>
        <w:gridCol w:w="480"/>
        <w:gridCol w:w="1560"/>
        <w:gridCol w:w="960"/>
      </w:tblGrid>
      <w:tr w:rsidR="008D1275" w:rsidRPr="00052931" w:rsidTr="00EF1030">
        <w:trPr>
          <w:trHeight w:val="276"/>
        </w:trPr>
        <w:tc>
          <w:tcPr>
            <w:tcW w:w="2660" w:type="dxa"/>
            <w:tcBorders>
              <w:top w:val="nil"/>
              <w:left w:val="nil"/>
              <w:bottom w:val="nil"/>
              <w:right w:val="nil"/>
            </w:tcBorders>
            <w:vAlign w:val="bottom"/>
          </w:tcPr>
          <w:p w:rsidR="008D1275" w:rsidRPr="00052931" w:rsidRDefault="008D1275" w:rsidP="00E1002C">
            <w:pPr>
              <w:widowControl w:val="0"/>
              <w:autoSpaceDE w:val="0"/>
              <w:autoSpaceDN w:val="0"/>
              <w:adjustRightInd w:val="0"/>
              <w:spacing w:after="120" w:line="360" w:lineRule="auto"/>
              <w:rPr>
                <w:rFonts w:ascii="Times New Roman" w:hAnsi="Times New Roman"/>
                <w:sz w:val="24"/>
                <w:szCs w:val="24"/>
              </w:rPr>
            </w:pPr>
            <w:r w:rsidRPr="00052931">
              <w:rPr>
                <w:rFonts w:ascii="Times New Roman" w:hAnsi="Times New Roman"/>
                <w:sz w:val="24"/>
                <w:szCs w:val="24"/>
              </w:rPr>
              <w:t>Čiastková kompetencia 2:</w:t>
            </w:r>
          </w:p>
        </w:tc>
        <w:tc>
          <w:tcPr>
            <w:tcW w:w="780" w:type="dxa"/>
            <w:tcBorders>
              <w:top w:val="nil"/>
              <w:left w:val="nil"/>
              <w:bottom w:val="nil"/>
              <w:right w:val="nil"/>
            </w:tcBorders>
            <w:vAlign w:val="bottom"/>
          </w:tcPr>
          <w:p w:rsidR="008D1275" w:rsidRPr="00052931" w:rsidRDefault="008D1275" w:rsidP="00E1002C">
            <w:pPr>
              <w:widowControl w:val="0"/>
              <w:autoSpaceDE w:val="0"/>
              <w:autoSpaceDN w:val="0"/>
              <w:adjustRightInd w:val="0"/>
              <w:spacing w:after="120" w:line="360" w:lineRule="auto"/>
              <w:ind w:left="180"/>
              <w:rPr>
                <w:rFonts w:ascii="Times New Roman" w:hAnsi="Times New Roman"/>
                <w:sz w:val="24"/>
                <w:szCs w:val="24"/>
              </w:rPr>
            </w:pPr>
            <w:r w:rsidRPr="00052931">
              <w:rPr>
                <w:rFonts w:ascii="Times New Roman" w:hAnsi="Times New Roman"/>
                <w:sz w:val="24"/>
                <w:szCs w:val="24"/>
              </w:rPr>
              <w:t>Mať</w:t>
            </w:r>
          </w:p>
        </w:tc>
        <w:tc>
          <w:tcPr>
            <w:tcW w:w="1200" w:type="dxa"/>
            <w:tcBorders>
              <w:top w:val="nil"/>
              <w:left w:val="nil"/>
              <w:bottom w:val="nil"/>
              <w:right w:val="nil"/>
            </w:tcBorders>
            <w:vAlign w:val="bottom"/>
          </w:tcPr>
          <w:p w:rsidR="008D1275" w:rsidRPr="00052931" w:rsidRDefault="008D1275" w:rsidP="00E1002C">
            <w:pPr>
              <w:widowControl w:val="0"/>
              <w:autoSpaceDE w:val="0"/>
              <w:autoSpaceDN w:val="0"/>
              <w:adjustRightInd w:val="0"/>
              <w:spacing w:after="120" w:line="360" w:lineRule="auto"/>
              <w:ind w:left="180"/>
              <w:rPr>
                <w:rFonts w:ascii="Times New Roman" w:hAnsi="Times New Roman"/>
                <w:sz w:val="24"/>
                <w:szCs w:val="24"/>
              </w:rPr>
            </w:pPr>
            <w:r w:rsidRPr="00052931">
              <w:rPr>
                <w:rFonts w:ascii="Times New Roman" w:hAnsi="Times New Roman"/>
                <w:sz w:val="24"/>
                <w:szCs w:val="24"/>
              </w:rPr>
              <w:t>základné</w:t>
            </w:r>
          </w:p>
        </w:tc>
        <w:tc>
          <w:tcPr>
            <w:tcW w:w="1420" w:type="dxa"/>
            <w:tcBorders>
              <w:top w:val="nil"/>
              <w:left w:val="nil"/>
              <w:bottom w:val="nil"/>
              <w:right w:val="nil"/>
            </w:tcBorders>
            <w:vAlign w:val="bottom"/>
          </w:tcPr>
          <w:p w:rsidR="008D1275" w:rsidRPr="00052931" w:rsidRDefault="008D1275" w:rsidP="00E1002C">
            <w:pPr>
              <w:widowControl w:val="0"/>
              <w:autoSpaceDE w:val="0"/>
              <w:autoSpaceDN w:val="0"/>
              <w:adjustRightInd w:val="0"/>
              <w:spacing w:after="120" w:line="360" w:lineRule="auto"/>
              <w:ind w:left="180"/>
              <w:rPr>
                <w:rFonts w:ascii="Times New Roman" w:hAnsi="Times New Roman"/>
                <w:sz w:val="24"/>
                <w:szCs w:val="24"/>
              </w:rPr>
            </w:pPr>
            <w:r w:rsidRPr="00052931">
              <w:rPr>
                <w:rFonts w:ascii="Times New Roman" w:hAnsi="Times New Roman"/>
                <w:sz w:val="24"/>
                <w:szCs w:val="24"/>
              </w:rPr>
              <w:t>informácie</w:t>
            </w:r>
          </w:p>
        </w:tc>
        <w:tc>
          <w:tcPr>
            <w:tcW w:w="480" w:type="dxa"/>
            <w:tcBorders>
              <w:top w:val="nil"/>
              <w:left w:val="nil"/>
              <w:bottom w:val="nil"/>
              <w:right w:val="nil"/>
            </w:tcBorders>
            <w:vAlign w:val="bottom"/>
          </w:tcPr>
          <w:p w:rsidR="008D1275" w:rsidRPr="00052931" w:rsidRDefault="008D1275" w:rsidP="00E1002C">
            <w:pPr>
              <w:widowControl w:val="0"/>
              <w:autoSpaceDE w:val="0"/>
              <w:autoSpaceDN w:val="0"/>
              <w:adjustRightInd w:val="0"/>
              <w:spacing w:after="120" w:line="360" w:lineRule="auto"/>
              <w:ind w:left="180"/>
              <w:rPr>
                <w:rFonts w:ascii="Times New Roman" w:hAnsi="Times New Roman"/>
                <w:sz w:val="24"/>
                <w:szCs w:val="24"/>
              </w:rPr>
            </w:pPr>
            <w:r w:rsidRPr="00052931">
              <w:rPr>
                <w:rFonts w:ascii="Times New Roman" w:hAnsi="Times New Roman"/>
                <w:sz w:val="24"/>
                <w:szCs w:val="24"/>
              </w:rPr>
              <w:t>o</w:t>
            </w:r>
          </w:p>
        </w:tc>
        <w:tc>
          <w:tcPr>
            <w:tcW w:w="1560" w:type="dxa"/>
            <w:tcBorders>
              <w:top w:val="nil"/>
              <w:left w:val="nil"/>
              <w:bottom w:val="nil"/>
              <w:right w:val="nil"/>
            </w:tcBorders>
            <w:vAlign w:val="bottom"/>
          </w:tcPr>
          <w:p w:rsidR="008D1275" w:rsidRPr="00052931" w:rsidRDefault="008D1275" w:rsidP="00E1002C">
            <w:pPr>
              <w:widowControl w:val="0"/>
              <w:autoSpaceDE w:val="0"/>
              <w:autoSpaceDN w:val="0"/>
              <w:adjustRightInd w:val="0"/>
              <w:spacing w:after="120" w:line="360" w:lineRule="auto"/>
              <w:ind w:left="180"/>
              <w:rPr>
                <w:rFonts w:ascii="Times New Roman" w:hAnsi="Times New Roman"/>
                <w:sz w:val="24"/>
                <w:szCs w:val="24"/>
              </w:rPr>
            </w:pPr>
            <w:r w:rsidRPr="00052931">
              <w:rPr>
                <w:rFonts w:ascii="Times New Roman" w:hAnsi="Times New Roman"/>
                <w:sz w:val="24"/>
                <w:szCs w:val="24"/>
              </w:rPr>
              <w:t>jednotlivých</w:t>
            </w:r>
          </w:p>
        </w:tc>
        <w:tc>
          <w:tcPr>
            <w:tcW w:w="960" w:type="dxa"/>
            <w:tcBorders>
              <w:top w:val="nil"/>
              <w:left w:val="nil"/>
              <w:bottom w:val="nil"/>
              <w:right w:val="nil"/>
            </w:tcBorders>
            <w:vAlign w:val="bottom"/>
          </w:tcPr>
          <w:p w:rsidR="008D1275" w:rsidRPr="00052931" w:rsidRDefault="008D1275" w:rsidP="00E1002C">
            <w:pPr>
              <w:widowControl w:val="0"/>
              <w:autoSpaceDE w:val="0"/>
              <w:autoSpaceDN w:val="0"/>
              <w:adjustRightInd w:val="0"/>
              <w:spacing w:after="120" w:line="360" w:lineRule="auto"/>
              <w:ind w:left="180"/>
              <w:rPr>
                <w:rFonts w:ascii="Times New Roman" w:hAnsi="Times New Roman"/>
                <w:sz w:val="24"/>
                <w:szCs w:val="24"/>
              </w:rPr>
            </w:pPr>
            <w:r w:rsidRPr="00052931">
              <w:rPr>
                <w:rFonts w:ascii="Times New Roman" w:hAnsi="Times New Roman"/>
                <w:w w:val="96"/>
                <w:sz w:val="24"/>
                <w:szCs w:val="24"/>
              </w:rPr>
              <w:t>druhoch</w:t>
            </w:r>
          </w:p>
        </w:tc>
      </w:tr>
      <w:tr w:rsidR="008D1275" w:rsidRPr="00052931" w:rsidTr="00EF1030">
        <w:trPr>
          <w:trHeight w:val="276"/>
        </w:trPr>
        <w:tc>
          <w:tcPr>
            <w:tcW w:w="2660" w:type="dxa"/>
            <w:tcBorders>
              <w:top w:val="nil"/>
              <w:left w:val="nil"/>
              <w:bottom w:val="nil"/>
              <w:right w:val="nil"/>
            </w:tcBorders>
            <w:vAlign w:val="bottom"/>
          </w:tcPr>
          <w:p w:rsidR="008D1275" w:rsidRPr="00052931" w:rsidRDefault="00E1002C" w:rsidP="00E1002C">
            <w:pPr>
              <w:widowControl w:val="0"/>
              <w:autoSpaceDE w:val="0"/>
              <w:autoSpaceDN w:val="0"/>
              <w:adjustRightInd w:val="0"/>
              <w:spacing w:after="120" w:line="360" w:lineRule="auto"/>
              <w:rPr>
                <w:rFonts w:ascii="Times New Roman" w:hAnsi="Times New Roman"/>
                <w:sz w:val="24"/>
                <w:szCs w:val="24"/>
              </w:rPr>
            </w:pPr>
            <w:r>
              <w:rPr>
                <w:rFonts w:ascii="Times New Roman" w:hAnsi="Times New Roman"/>
                <w:sz w:val="24"/>
                <w:szCs w:val="24"/>
              </w:rPr>
              <w:t xml:space="preserve"> </w:t>
            </w:r>
          </w:p>
        </w:tc>
        <w:tc>
          <w:tcPr>
            <w:tcW w:w="3400" w:type="dxa"/>
            <w:gridSpan w:val="3"/>
            <w:tcBorders>
              <w:top w:val="nil"/>
              <w:left w:val="nil"/>
              <w:bottom w:val="nil"/>
              <w:right w:val="nil"/>
            </w:tcBorders>
            <w:vAlign w:val="bottom"/>
          </w:tcPr>
          <w:p w:rsidR="008D1275" w:rsidRPr="00052931" w:rsidRDefault="008D1275" w:rsidP="00E1002C">
            <w:pPr>
              <w:widowControl w:val="0"/>
              <w:autoSpaceDE w:val="0"/>
              <w:autoSpaceDN w:val="0"/>
              <w:adjustRightInd w:val="0"/>
              <w:spacing w:after="120" w:line="360" w:lineRule="auto"/>
              <w:ind w:left="180"/>
              <w:rPr>
                <w:rFonts w:ascii="Times New Roman" w:hAnsi="Times New Roman"/>
                <w:sz w:val="24"/>
                <w:szCs w:val="24"/>
              </w:rPr>
            </w:pPr>
            <w:r w:rsidRPr="00052931">
              <w:rPr>
                <w:rFonts w:ascii="Times New Roman" w:hAnsi="Times New Roman"/>
                <w:sz w:val="24"/>
                <w:szCs w:val="24"/>
              </w:rPr>
              <w:t>spotrebiteľských úverov</w:t>
            </w:r>
          </w:p>
        </w:tc>
        <w:tc>
          <w:tcPr>
            <w:tcW w:w="480" w:type="dxa"/>
            <w:tcBorders>
              <w:top w:val="nil"/>
              <w:left w:val="nil"/>
              <w:bottom w:val="nil"/>
              <w:right w:val="nil"/>
            </w:tcBorders>
            <w:vAlign w:val="bottom"/>
          </w:tcPr>
          <w:p w:rsidR="008D1275" w:rsidRPr="00052931" w:rsidRDefault="008D1275" w:rsidP="00E1002C">
            <w:pPr>
              <w:widowControl w:val="0"/>
              <w:autoSpaceDE w:val="0"/>
              <w:autoSpaceDN w:val="0"/>
              <w:adjustRightInd w:val="0"/>
              <w:spacing w:after="120" w:line="360" w:lineRule="auto"/>
              <w:rPr>
                <w:rFonts w:ascii="Times New Roman" w:hAnsi="Times New Roman"/>
                <w:sz w:val="24"/>
                <w:szCs w:val="24"/>
              </w:rPr>
            </w:pPr>
          </w:p>
        </w:tc>
        <w:tc>
          <w:tcPr>
            <w:tcW w:w="1560" w:type="dxa"/>
            <w:tcBorders>
              <w:top w:val="nil"/>
              <w:left w:val="nil"/>
              <w:bottom w:val="nil"/>
              <w:right w:val="nil"/>
            </w:tcBorders>
            <w:vAlign w:val="bottom"/>
          </w:tcPr>
          <w:p w:rsidR="008D1275" w:rsidRPr="00052931" w:rsidRDefault="008D1275" w:rsidP="00E1002C">
            <w:pPr>
              <w:widowControl w:val="0"/>
              <w:autoSpaceDE w:val="0"/>
              <w:autoSpaceDN w:val="0"/>
              <w:adjustRightInd w:val="0"/>
              <w:spacing w:after="120" w:line="360" w:lineRule="auto"/>
              <w:rPr>
                <w:rFonts w:ascii="Times New Roman" w:hAnsi="Times New Roman"/>
                <w:sz w:val="24"/>
                <w:szCs w:val="24"/>
              </w:rPr>
            </w:pPr>
          </w:p>
        </w:tc>
        <w:tc>
          <w:tcPr>
            <w:tcW w:w="960" w:type="dxa"/>
            <w:tcBorders>
              <w:top w:val="nil"/>
              <w:left w:val="nil"/>
              <w:bottom w:val="nil"/>
              <w:right w:val="nil"/>
            </w:tcBorders>
            <w:vAlign w:val="bottom"/>
          </w:tcPr>
          <w:p w:rsidR="008D1275" w:rsidRPr="00052931" w:rsidRDefault="008D1275" w:rsidP="00E1002C">
            <w:pPr>
              <w:widowControl w:val="0"/>
              <w:autoSpaceDE w:val="0"/>
              <w:autoSpaceDN w:val="0"/>
              <w:adjustRightInd w:val="0"/>
              <w:spacing w:after="120" w:line="360" w:lineRule="auto"/>
              <w:rPr>
                <w:rFonts w:ascii="Times New Roman" w:hAnsi="Times New Roman"/>
                <w:sz w:val="24"/>
                <w:szCs w:val="24"/>
              </w:rPr>
            </w:pPr>
          </w:p>
        </w:tc>
      </w:tr>
    </w:tbl>
    <w:p w:rsidR="00883F14" w:rsidRPr="008A3E25" w:rsidRDefault="008D1275" w:rsidP="008A3E25">
      <w:pPr>
        <w:spacing w:after="120" w:line="360" w:lineRule="auto"/>
        <w:jc w:val="both"/>
        <w:rPr>
          <w:rFonts w:ascii="Times New Roman" w:hAnsi="Times New Roman"/>
          <w:sz w:val="24"/>
          <w:szCs w:val="24"/>
        </w:rPr>
      </w:pPr>
      <w:r w:rsidRPr="00052931">
        <w:rPr>
          <w:rFonts w:ascii="Times New Roman" w:hAnsi="Times New Roman"/>
          <w:sz w:val="24"/>
          <w:szCs w:val="24"/>
        </w:rPr>
        <w:t>Čiastková kompetencia 3:     Zhodnotiť možnosti, ako sa vyhnúť problémom so zad</w:t>
      </w:r>
      <w:r w:rsidR="008A3E25">
        <w:rPr>
          <w:rFonts w:ascii="Times New Roman" w:hAnsi="Times New Roman"/>
          <w:sz w:val="24"/>
          <w:szCs w:val="24"/>
        </w:rPr>
        <w:t>lžení</w:t>
      </w:r>
    </w:p>
    <w:p w:rsidR="00883F14" w:rsidRDefault="00883F14" w:rsidP="008D1275">
      <w:pPr>
        <w:jc w:val="both"/>
        <w:rPr>
          <w:rFonts w:ascii="Times New Roman" w:hAnsi="Times New Roman" w:cs="Times New Roman"/>
          <w:sz w:val="24"/>
          <w:szCs w:val="24"/>
        </w:rPr>
      </w:pPr>
    </w:p>
    <w:tbl>
      <w:tblPr>
        <w:tblW w:w="15750" w:type="dxa"/>
        <w:tblCellMar>
          <w:left w:w="70" w:type="dxa"/>
          <w:right w:w="70" w:type="dxa"/>
        </w:tblCellMar>
        <w:tblLook w:val="04A0" w:firstRow="1" w:lastRow="0" w:firstColumn="1" w:lastColumn="0" w:noHBand="0" w:noVBand="1"/>
      </w:tblPr>
      <w:tblGrid>
        <w:gridCol w:w="4280"/>
        <w:gridCol w:w="1130"/>
        <w:gridCol w:w="1160"/>
        <w:gridCol w:w="1020"/>
        <w:gridCol w:w="1020"/>
        <w:gridCol w:w="1020"/>
        <w:gridCol w:w="1020"/>
        <w:gridCol w:w="1020"/>
        <w:gridCol w:w="1020"/>
        <w:gridCol w:w="1020"/>
        <w:gridCol w:w="1020"/>
        <w:gridCol w:w="1020"/>
      </w:tblGrid>
      <w:tr w:rsidR="009513E6" w:rsidRPr="009513E6" w:rsidTr="00E1002C">
        <w:trPr>
          <w:trHeight w:val="880"/>
        </w:trPr>
        <w:tc>
          <w:tcPr>
            <w:tcW w:w="4280" w:type="dxa"/>
            <w:tcBorders>
              <w:top w:val="single" w:sz="8" w:space="0" w:color="auto"/>
              <w:left w:val="single" w:sz="8" w:space="0" w:color="auto"/>
              <w:bottom w:val="single" w:sz="8"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sz w:val="24"/>
                <w:szCs w:val="24"/>
                <w:lang w:eastAsia="sk-SK"/>
              </w:rPr>
            </w:pPr>
            <w:r w:rsidRPr="009513E6">
              <w:rPr>
                <w:rFonts w:ascii="Calibri" w:eastAsia="Times New Roman" w:hAnsi="Calibri" w:cs="Calibri"/>
                <w:b/>
                <w:bCs/>
                <w:color w:val="000000"/>
                <w:sz w:val="24"/>
                <w:szCs w:val="24"/>
                <w:lang w:eastAsia="sk-SK"/>
              </w:rPr>
              <w:lastRenderedPageBreak/>
              <w:t>Organizácia / Téma</w:t>
            </w:r>
          </w:p>
        </w:tc>
        <w:tc>
          <w:tcPr>
            <w:tcW w:w="113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Úver a dlh</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Calibri" w:eastAsia="Times New Roman" w:hAnsi="Calibri" w:cs="Calibri"/>
                <w:color w:val="000000"/>
                <w:lang w:eastAsia="sk-SK"/>
              </w:rPr>
            </w:pPr>
            <w:r w:rsidRPr="009513E6">
              <w:rPr>
                <w:rFonts w:ascii="Calibri" w:eastAsia="Times New Roman" w:hAnsi="Calibri" w:cs="Calibri"/>
                <w:noProof/>
                <w:color w:val="000000"/>
                <w:lang w:eastAsia="sk-SK"/>
              </w:rPr>
              <w:drawing>
                <wp:anchor distT="0" distB="0" distL="114300" distR="114300" simplePos="0" relativeHeight="251665408" behindDoc="0" locked="0" layoutInCell="1" allowOverlap="1">
                  <wp:simplePos x="0" y="0"/>
                  <wp:positionH relativeFrom="column">
                    <wp:posOffset>109220</wp:posOffset>
                  </wp:positionH>
                  <wp:positionV relativeFrom="paragraph">
                    <wp:posOffset>-454025</wp:posOffset>
                  </wp:positionV>
                  <wp:extent cx="6226810" cy="6238240"/>
                  <wp:effectExtent l="0" t="0" r="2540" b="10160"/>
                  <wp:wrapNone/>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20"/>
            </w:tblGrid>
            <w:tr w:rsidR="009513E6" w:rsidRPr="009513E6">
              <w:trPr>
                <w:trHeight w:val="880"/>
                <w:tblCellSpacing w:w="0" w:type="dxa"/>
              </w:trPr>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Calibri" w:eastAsia="Times New Roman" w:hAnsi="Calibri" w:cs="Calibri"/>
                      <w:color w:val="000000"/>
                      <w:lang w:eastAsia="sk-SK"/>
                    </w:rPr>
                  </w:pPr>
                </w:p>
              </w:tc>
            </w:tr>
          </w:tbl>
          <w:p w:rsidR="009513E6" w:rsidRPr="009513E6" w:rsidRDefault="009513E6" w:rsidP="009513E6">
            <w:pPr>
              <w:spacing w:after="0" w:line="240" w:lineRule="auto"/>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Nadácia pre deti Slovenska</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100%</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Nadácia Slovenskej sporiteľne</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67%</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Slovenská banková asociácia</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33%</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 xml:space="preserve">OVB </w:t>
            </w:r>
            <w:proofErr w:type="spellStart"/>
            <w:r w:rsidRPr="009513E6">
              <w:rPr>
                <w:rFonts w:ascii="Calibri" w:eastAsia="Times New Roman" w:hAnsi="Calibri" w:cs="Calibri"/>
                <w:b/>
                <w:bCs/>
                <w:color w:val="000000"/>
                <w:lang w:eastAsia="sk-SK"/>
              </w:rPr>
              <w:t>Allfinanz</w:t>
            </w:r>
            <w:proofErr w:type="spellEnd"/>
            <w:r w:rsidRPr="009513E6">
              <w:rPr>
                <w:rFonts w:ascii="Calibri" w:eastAsia="Times New Roman" w:hAnsi="Calibri" w:cs="Calibri"/>
                <w:b/>
                <w:bCs/>
                <w:color w:val="000000"/>
                <w:lang w:eastAsia="sk-SK"/>
              </w:rPr>
              <w:t xml:space="preserve"> Slovensko a. s. </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32306F" w:rsidRDefault="00B14A31" w:rsidP="009513E6">
            <w:pPr>
              <w:spacing w:after="0" w:line="240" w:lineRule="auto"/>
              <w:jc w:val="center"/>
              <w:rPr>
                <w:rFonts w:ascii="Calibri" w:eastAsia="Times New Roman" w:hAnsi="Calibri" w:cs="Calibri"/>
                <w:b/>
                <w:color w:val="000000"/>
                <w:lang w:eastAsia="sk-SK"/>
              </w:rPr>
            </w:pPr>
            <w:r w:rsidRPr="0032306F">
              <w:rPr>
                <w:rFonts w:ascii="Calibri" w:eastAsia="Times New Roman" w:hAnsi="Calibri" w:cs="Calibri"/>
                <w:b/>
                <w:color w:val="000000"/>
                <w:lang w:eastAsia="sk-SK"/>
              </w:rPr>
              <w:t>67</w:t>
            </w:r>
            <w:r w:rsidR="009513E6" w:rsidRPr="0032306F">
              <w:rPr>
                <w:rFonts w:ascii="Calibri" w:eastAsia="Times New Roman" w:hAnsi="Calibri" w:cs="Calibri"/>
                <w:b/>
                <w:color w:val="000000"/>
                <w:lang w:eastAsia="sk-SK"/>
              </w:rPr>
              <w:t>%</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proofErr w:type="spellStart"/>
            <w:r w:rsidRPr="009513E6">
              <w:rPr>
                <w:rFonts w:ascii="Calibri" w:eastAsia="Times New Roman" w:hAnsi="Calibri" w:cs="Calibri"/>
                <w:b/>
                <w:bCs/>
                <w:color w:val="000000"/>
                <w:lang w:eastAsia="sk-SK"/>
              </w:rPr>
              <w:t>Minist</w:t>
            </w:r>
            <w:proofErr w:type="spellEnd"/>
            <w:r w:rsidRPr="009513E6">
              <w:rPr>
                <w:rFonts w:ascii="Calibri" w:eastAsia="Times New Roman" w:hAnsi="Calibri" w:cs="Calibri"/>
                <w:b/>
                <w:bCs/>
                <w:color w:val="000000"/>
                <w:lang w:eastAsia="sk-SK"/>
              </w:rPr>
              <w:t>. financií SR.-</w:t>
            </w:r>
            <w:proofErr w:type="spellStart"/>
            <w:r w:rsidRPr="009513E6">
              <w:rPr>
                <w:rFonts w:ascii="Calibri" w:eastAsia="Times New Roman" w:hAnsi="Calibri" w:cs="Calibri"/>
                <w:b/>
                <w:bCs/>
                <w:color w:val="000000"/>
                <w:lang w:eastAsia="sk-SK"/>
              </w:rPr>
              <w:t>Odb.ochrany</w:t>
            </w:r>
            <w:proofErr w:type="spellEnd"/>
            <w:r w:rsidRPr="009513E6">
              <w:rPr>
                <w:rFonts w:ascii="Calibri" w:eastAsia="Times New Roman" w:hAnsi="Calibri" w:cs="Calibri"/>
                <w:b/>
                <w:bCs/>
                <w:color w:val="000000"/>
                <w:lang w:eastAsia="sk-SK"/>
              </w:rPr>
              <w:t xml:space="preserve"> </w:t>
            </w:r>
            <w:proofErr w:type="spellStart"/>
            <w:r w:rsidRPr="009513E6">
              <w:rPr>
                <w:rFonts w:ascii="Calibri" w:eastAsia="Times New Roman" w:hAnsi="Calibri" w:cs="Calibri"/>
                <w:b/>
                <w:bCs/>
                <w:color w:val="000000"/>
                <w:lang w:eastAsia="sk-SK"/>
              </w:rPr>
              <w:t>fin.spotreb</w:t>
            </w:r>
            <w:proofErr w:type="spellEnd"/>
            <w:r w:rsidRPr="009513E6">
              <w:rPr>
                <w:rFonts w:ascii="Calibri" w:eastAsia="Times New Roman" w:hAnsi="Calibri" w:cs="Calibri"/>
                <w:b/>
                <w:bCs/>
                <w:color w:val="000000"/>
                <w:lang w:eastAsia="sk-SK"/>
              </w:rPr>
              <w:t>.</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22%</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NBS-odbor ochrany slovenských spotrebiteľ.</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33%</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Metodicko-pedagogické centrum</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67%</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Finančné riaditeľstvo SR</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CKÚ OLAF ÚV SR</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Odbor prevencie korupcie ÚV SR</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Štátna školská inšpekcia</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D815A6" w:rsidP="009513E6">
            <w:pPr>
              <w:spacing w:after="0" w:line="240" w:lineRule="auto"/>
              <w:rPr>
                <w:rFonts w:ascii="Times New Roman" w:eastAsia="Times New Roman" w:hAnsi="Times New Roman" w:cs="Times New Roman"/>
                <w:sz w:val="20"/>
                <w:szCs w:val="20"/>
                <w:lang w:eastAsia="sk-SK"/>
              </w:rPr>
            </w:pPr>
            <w:r>
              <w:rPr>
                <w:rFonts w:ascii="Times New Roman" w:hAnsi="Times New Roman"/>
                <w:noProof/>
                <w:sz w:val="24"/>
                <w:szCs w:val="24"/>
                <w:lang w:eastAsia="sk-SK"/>
              </w:rPr>
              <w:drawing>
                <wp:anchor distT="0" distB="0" distL="114300" distR="114300" simplePos="0" relativeHeight="251671552" behindDoc="0" locked="0" layoutInCell="1" allowOverlap="1">
                  <wp:simplePos x="0" y="0"/>
                  <wp:positionH relativeFrom="column">
                    <wp:posOffset>321945</wp:posOffset>
                  </wp:positionH>
                  <wp:positionV relativeFrom="paragraph">
                    <wp:posOffset>42545</wp:posOffset>
                  </wp:positionV>
                  <wp:extent cx="333375" cy="219075"/>
                  <wp:effectExtent l="0" t="0" r="9525" b="9525"/>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1percent_plus.jpg"/>
                          <pic:cNvPicPr/>
                        </pic:nvPicPr>
                        <pic:blipFill>
                          <a:blip r:embed="rId13">
                            <a:extLst>
                              <a:ext uri="{28A0092B-C50C-407E-A947-70E740481C1C}">
                                <a14:useLocalDpi xmlns:a14="http://schemas.microsoft.com/office/drawing/2010/main" val="0"/>
                              </a:ext>
                            </a:extLst>
                          </a:blip>
                          <a:stretch>
                            <a:fillRect/>
                          </a:stretch>
                        </pic:blipFill>
                        <pic:spPr>
                          <a:xfrm>
                            <a:off x="0" y="0"/>
                            <a:ext cx="333375" cy="219075"/>
                          </a:xfrm>
                          <a:prstGeom prst="rect">
                            <a:avLst/>
                          </a:prstGeom>
                        </pic:spPr>
                      </pic:pic>
                    </a:graphicData>
                  </a:graphic>
                  <wp14:sizeRelH relativeFrom="margin">
                    <wp14:pctWidth>0</wp14:pctWidth>
                  </wp14:sizeRelH>
                  <wp14:sizeRelV relativeFrom="margin">
                    <wp14:pctHeight>0</wp14:pctHeight>
                  </wp14:sizeRelV>
                </wp:anchor>
              </w:drawing>
            </w: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 xml:space="preserve">Ministerstvo hospodárstva SR </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JA Slovensko</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100%</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 xml:space="preserve"> Úrad </w:t>
            </w:r>
            <w:proofErr w:type="spellStart"/>
            <w:r w:rsidRPr="009513E6">
              <w:rPr>
                <w:rFonts w:ascii="Calibri" w:eastAsia="Times New Roman" w:hAnsi="Calibri" w:cs="Calibri"/>
                <w:color w:val="000000"/>
                <w:lang w:eastAsia="sk-SK"/>
              </w:rPr>
              <w:t>splnomoc</w:t>
            </w:r>
            <w:proofErr w:type="spellEnd"/>
            <w:r w:rsidRPr="009513E6">
              <w:rPr>
                <w:rFonts w:ascii="Calibri" w:eastAsia="Times New Roman" w:hAnsi="Calibri" w:cs="Calibri"/>
                <w:color w:val="000000"/>
                <w:lang w:eastAsia="sk-SK"/>
              </w:rPr>
              <w:t xml:space="preserve">. vlády SR pre </w:t>
            </w:r>
            <w:proofErr w:type="spellStart"/>
            <w:r w:rsidRPr="009513E6">
              <w:rPr>
                <w:rFonts w:ascii="Calibri" w:eastAsia="Times New Roman" w:hAnsi="Calibri" w:cs="Calibri"/>
                <w:color w:val="000000"/>
                <w:lang w:eastAsia="sk-SK"/>
              </w:rPr>
              <w:t>róm</w:t>
            </w:r>
            <w:proofErr w:type="spellEnd"/>
            <w:r w:rsidRPr="009513E6">
              <w:rPr>
                <w:rFonts w:ascii="Calibri" w:eastAsia="Times New Roman" w:hAnsi="Calibri" w:cs="Calibri"/>
                <w:color w:val="000000"/>
                <w:lang w:eastAsia="sk-SK"/>
              </w:rPr>
              <w:t>. komunity</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NÚCEM</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SLASPO - Slovenská asociácia poisťovní</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color w:val="000000"/>
                <w:lang w:eastAsia="sk-SK"/>
              </w:rPr>
            </w:pPr>
            <w:r w:rsidRPr="009513E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single" w:sz="4"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ŠIOV - FG a SCCF</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22%</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nil"/>
              <w:left w:val="single" w:sz="8" w:space="0" w:color="auto"/>
              <w:bottom w:val="nil"/>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EUBA - Ekonomická Univerzita</w:t>
            </w:r>
          </w:p>
        </w:tc>
        <w:tc>
          <w:tcPr>
            <w:tcW w:w="1130" w:type="dxa"/>
            <w:tcBorders>
              <w:top w:val="nil"/>
              <w:left w:val="single" w:sz="4" w:space="0" w:color="auto"/>
              <w:bottom w:val="single" w:sz="4"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33%</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r w:rsidR="009513E6" w:rsidRPr="009513E6" w:rsidTr="00E1002C">
        <w:trPr>
          <w:trHeight w:val="379"/>
        </w:trPr>
        <w:tc>
          <w:tcPr>
            <w:tcW w:w="4280" w:type="dxa"/>
            <w:tcBorders>
              <w:top w:val="single" w:sz="4" w:space="0" w:color="auto"/>
              <w:left w:val="single" w:sz="8" w:space="0" w:color="auto"/>
              <w:bottom w:val="single" w:sz="8" w:space="0" w:color="auto"/>
              <w:right w:val="nil"/>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ŠPÚ - Štátny pedagogický ústav</w:t>
            </w:r>
          </w:p>
        </w:tc>
        <w:tc>
          <w:tcPr>
            <w:tcW w:w="1130" w:type="dxa"/>
            <w:tcBorders>
              <w:top w:val="nil"/>
              <w:left w:val="single" w:sz="4" w:space="0" w:color="auto"/>
              <w:bottom w:val="single" w:sz="8" w:space="0" w:color="auto"/>
              <w:right w:val="single" w:sz="8" w:space="0" w:color="auto"/>
            </w:tcBorders>
            <w:shd w:val="clear" w:color="auto" w:fill="auto"/>
            <w:noWrap/>
            <w:vAlign w:val="center"/>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r w:rsidRPr="009513E6">
              <w:rPr>
                <w:rFonts w:ascii="Calibri" w:eastAsia="Times New Roman" w:hAnsi="Calibri" w:cs="Calibri"/>
                <w:b/>
                <w:bCs/>
                <w:color w:val="000000"/>
                <w:lang w:eastAsia="sk-SK"/>
              </w:rPr>
              <w:t>67%</w:t>
            </w:r>
          </w:p>
        </w:tc>
        <w:tc>
          <w:tcPr>
            <w:tcW w:w="116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9513E6" w:rsidRPr="009513E6" w:rsidRDefault="009513E6" w:rsidP="009513E6">
            <w:pPr>
              <w:spacing w:after="0" w:line="240" w:lineRule="auto"/>
              <w:rPr>
                <w:rFonts w:ascii="Times New Roman" w:eastAsia="Times New Roman" w:hAnsi="Times New Roman" w:cs="Times New Roman"/>
                <w:sz w:val="20"/>
                <w:szCs w:val="20"/>
                <w:lang w:eastAsia="sk-SK"/>
              </w:rPr>
            </w:pPr>
          </w:p>
        </w:tc>
      </w:tr>
    </w:tbl>
    <w:p w:rsidR="00534557" w:rsidRDefault="00622AE5" w:rsidP="0009411B">
      <w:pPr>
        <w:spacing w:after="120" w:line="360" w:lineRule="auto"/>
        <w:jc w:val="both"/>
        <w:rPr>
          <w:rFonts w:ascii="Times New Roman" w:hAnsi="Times New Roman" w:cs="Times New Roman"/>
          <w:b/>
          <w:sz w:val="24"/>
          <w:szCs w:val="24"/>
        </w:rPr>
      </w:pPr>
      <w:r>
        <w:rPr>
          <w:rFonts w:ascii="Times New Roman" w:hAnsi="Times New Roman"/>
          <w:sz w:val="24"/>
          <w:szCs w:val="24"/>
        </w:rPr>
        <w:lastRenderedPageBreak/>
        <w:t>Už ako vyplýva z názvu, štvrtej</w:t>
      </w:r>
      <w:r w:rsidR="00CF05B2">
        <w:rPr>
          <w:rFonts w:ascii="Times New Roman" w:hAnsi="Times New Roman"/>
          <w:sz w:val="24"/>
          <w:szCs w:val="24"/>
        </w:rPr>
        <w:t xml:space="preserve"> a piatej </w:t>
      </w:r>
      <w:r>
        <w:rPr>
          <w:rFonts w:ascii="Times New Roman" w:hAnsi="Times New Roman"/>
          <w:sz w:val="24"/>
          <w:szCs w:val="24"/>
        </w:rPr>
        <w:t xml:space="preserve">téme </w:t>
      </w:r>
      <w:r w:rsidR="00534557">
        <w:rPr>
          <w:rFonts w:ascii="Times New Roman" w:hAnsi="Times New Roman"/>
          <w:sz w:val="24"/>
          <w:szCs w:val="24"/>
        </w:rPr>
        <w:t xml:space="preserve">NŠFG by </w:t>
      </w:r>
      <w:r>
        <w:rPr>
          <w:rFonts w:ascii="Times New Roman" w:hAnsi="Times New Roman"/>
          <w:sz w:val="24"/>
          <w:szCs w:val="24"/>
        </w:rPr>
        <w:t xml:space="preserve">sa </w:t>
      </w:r>
      <w:r w:rsidR="00534557">
        <w:rPr>
          <w:rFonts w:ascii="Times New Roman" w:hAnsi="Times New Roman"/>
          <w:sz w:val="24"/>
          <w:szCs w:val="24"/>
        </w:rPr>
        <w:t>prednostne mohli venovať</w:t>
      </w:r>
      <w:r>
        <w:rPr>
          <w:rFonts w:ascii="Times New Roman" w:hAnsi="Times New Roman"/>
          <w:sz w:val="24"/>
          <w:szCs w:val="24"/>
        </w:rPr>
        <w:t xml:space="preserve"> bankové, finančné a poisťovacie inštitúcie.</w:t>
      </w:r>
      <w:r w:rsidR="00534557">
        <w:rPr>
          <w:rFonts w:ascii="Times New Roman" w:hAnsi="Times New Roman"/>
          <w:sz w:val="24"/>
          <w:szCs w:val="24"/>
        </w:rPr>
        <w:t xml:space="preserve"> </w:t>
      </w:r>
      <w:r w:rsidR="00CF05B2">
        <w:rPr>
          <w:rFonts w:ascii="Times New Roman" w:hAnsi="Times New Roman"/>
          <w:sz w:val="24"/>
          <w:szCs w:val="24"/>
        </w:rPr>
        <w:t>Napriek tomu sa š</w:t>
      </w:r>
      <w:r w:rsidR="00534557">
        <w:rPr>
          <w:rFonts w:ascii="Times New Roman" w:hAnsi="Times New Roman" w:cs="Times New Roman"/>
          <w:sz w:val="24"/>
          <w:szCs w:val="24"/>
        </w:rPr>
        <w:t xml:space="preserve">tvrtej téme  a jej trom </w:t>
      </w:r>
      <w:r w:rsidR="00CF05B2">
        <w:rPr>
          <w:rFonts w:ascii="Times New Roman" w:hAnsi="Times New Roman" w:cs="Times New Roman"/>
          <w:sz w:val="24"/>
          <w:szCs w:val="24"/>
        </w:rPr>
        <w:t xml:space="preserve">čiastkovým kompetenciám </w:t>
      </w:r>
      <w:r w:rsidR="00534557">
        <w:rPr>
          <w:rFonts w:ascii="Times New Roman" w:hAnsi="Times New Roman" w:cs="Times New Roman"/>
          <w:sz w:val="24"/>
          <w:szCs w:val="24"/>
        </w:rPr>
        <w:t xml:space="preserve"> venuje na 100 % </w:t>
      </w:r>
      <w:r w:rsidR="00534557">
        <w:rPr>
          <w:rFonts w:ascii="Times New Roman" w:hAnsi="Times New Roman" w:cs="Times New Roman"/>
          <w:b/>
          <w:sz w:val="24"/>
          <w:szCs w:val="24"/>
        </w:rPr>
        <w:t>JA SR</w:t>
      </w:r>
      <w:r w:rsidR="00CF05B2">
        <w:rPr>
          <w:rFonts w:ascii="Times New Roman" w:hAnsi="Times New Roman" w:cs="Times New Roman"/>
          <w:b/>
          <w:sz w:val="24"/>
          <w:szCs w:val="24"/>
        </w:rPr>
        <w:t xml:space="preserve"> a </w:t>
      </w:r>
      <w:r w:rsidR="00CF05B2" w:rsidRPr="00CF05B2">
        <w:rPr>
          <w:rFonts w:ascii="Times New Roman" w:hAnsi="Times New Roman" w:cs="Times New Roman"/>
          <w:b/>
          <w:sz w:val="24"/>
          <w:szCs w:val="24"/>
        </w:rPr>
        <w:t>Nadácia pre deti Slovenska</w:t>
      </w:r>
      <w:r w:rsidR="00534557" w:rsidRPr="0037459D">
        <w:rPr>
          <w:rFonts w:ascii="Times New Roman" w:hAnsi="Times New Roman" w:cs="Times New Roman"/>
          <w:b/>
          <w:sz w:val="24"/>
          <w:szCs w:val="24"/>
        </w:rPr>
        <w:t>.</w:t>
      </w:r>
      <w:r w:rsidR="00534557">
        <w:rPr>
          <w:rFonts w:ascii="Times New Roman" w:hAnsi="Times New Roman" w:cs="Times New Roman"/>
          <w:b/>
          <w:sz w:val="24"/>
          <w:szCs w:val="24"/>
        </w:rPr>
        <w:t xml:space="preserve"> </w:t>
      </w:r>
    </w:p>
    <w:p w:rsidR="00534557" w:rsidRDefault="00534557" w:rsidP="0009411B">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ŠPÚ, </w:t>
      </w:r>
      <w:r w:rsidR="00CF05B2">
        <w:rPr>
          <w:rFonts w:ascii="Times New Roman" w:hAnsi="Times New Roman" w:cs="Times New Roman"/>
          <w:b/>
          <w:sz w:val="24"/>
          <w:szCs w:val="24"/>
        </w:rPr>
        <w:t>MPC</w:t>
      </w:r>
      <w:r w:rsidR="003E1C31">
        <w:rPr>
          <w:rFonts w:ascii="Times New Roman" w:hAnsi="Times New Roman" w:cs="Times New Roman"/>
          <w:b/>
          <w:sz w:val="24"/>
          <w:szCs w:val="24"/>
        </w:rPr>
        <w:t xml:space="preserve">, OVB </w:t>
      </w:r>
      <w:r w:rsidR="00CF05B2">
        <w:rPr>
          <w:rFonts w:ascii="Times New Roman" w:hAnsi="Times New Roman" w:cs="Times New Roman"/>
          <w:b/>
          <w:sz w:val="24"/>
          <w:szCs w:val="24"/>
        </w:rPr>
        <w:t xml:space="preserve"> </w:t>
      </w:r>
      <w:r>
        <w:rPr>
          <w:rFonts w:ascii="Times New Roman" w:hAnsi="Times New Roman" w:cs="Times New Roman"/>
          <w:b/>
          <w:sz w:val="24"/>
          <w:szCs w:val="24"/>
        </w:rPr>
        <w:t xml:space="preserve">a Nadácia SĽSP </w:t>
      </w:r>
      <w:r>
        <w:rPr>
          <w:rFonts w:ascii="Times New Roman" w:hAnsi="Times New Roman" w:cs="Times New Roman"/>
          <w:sz w:val="24"/>
          <w:szCs w:val="24"/>
        </w:rPr>
        <w:t>sa štvrtej</w:t>
      </w:r>
      <w:r w:rsidRPr="00243CA9">
        <w:rPr>
          <w:rFonts w:ascii="Times New Roman" w:hAnsi="Times New Roman" w:cs="Times New Roman"/>
          <w:sz w:val="24"/>
          <w:szCs w:val="24"/>
        </w:rPr>
        <w:t xml:space="preserve"> téme a</w:t>
      </w:r>
      <w:r>
        <w:rPr>
          <w:rFonts w:ascii="Times New Roman" w:hAnsi="Times New Roman" w:cs="Times New Roman"/>
          <w:b/>
          <w:sz w:val="24"/>
          <w:szCs w:val="24"/>
        </w:rPr>
        <w:t xml:space="preserve"> </w:t>
      </w:r>
      <w:r>
        <w:rPr>
          <w:rFonts w:ascii="Times New Roman" w:hAnsi="Times New Roman" w:cs="Times New Roman"/>
          <w:sz w:val="24"/>
          <w:szCs w:val="24"/>
        </w:rPr>
        <w:t xml:space="preserve">jeho čiastkovým kompetenciám sa venujú každá na 67 %. </w:t>
      </w:r>
      <w:r w:rsidRPr="00534557">
        <w:rPr>
          <w:rFonts w:ascii="Times New Roman" w:hAnsi="Times New Roman" w:cs="Times New Roman"/>
          <w:b/>
          <w:sz w:val="24"/>
          <w:szCs w:val="24"/>
        </w:rPr>
        <w:t>ŠPÚ</w:t>
      </w:r>
      <w:r>
        <w:rPr>
          <w:rFonts w:ascii="Times New Roman" w:hAnsi="Times New Roman" w:cs="Times New Roman"/>
          <w:sz w:val="24"/>
          <w:szCs w:val="24"/>
        </w:rPr>
        <w:t xml:space="preserve"> sa venuje čiastkovým kompetenciám v rámci prvej a druhej úrovne, teda základnej škole ako takej. </w:t>
      </w:r>
      <w:r w:rsidRPr="00534557">
        <w:rPr>
          <w:rFonts w:ascii="Times New Roman" w:hAnsi="Times New Roman" w:cs="Times New Roman"/>
          <w:b/>
          <w:sz w:val="24"/>
          <w:szCs w:val="24"/>
        </w:rPr>
        <w:t>MPC</w:t>
      </w:r>
      <w:r>
        <w:rPr>
          <w:rFonts w:ascii="Times New Roman" w:hAnsi="Times New Roman" w:cs="Times New Roman"/>
          <w:sz w:val="24"/>
          <w:szCs w:val="24"/>
        </w:rPr>
        <w:t xml:space="preserve"> sa zaoberá čiastkovými kompetenciami druhej (druhý stupeň ZŠ) a tretej úrovne (SŠ). </w:t>
      </w:r>
      <w:r w:rsidR="00CF05B2">
        <w:rPr>
          <w:rFonts w:ascii="Times New Roman" w:hAnsi="Times New Roman" w:cs="Times New Roman"/>
          <w:b/>
          <w:sz w:val="24"/>
          <w:szCs w:val="24"/>
        </w:rPr>
        <w:t xml:space="preserve">Nadácia SĽSP </w:t>
      </w:r>
      <w:r>
        <w:rPr>
          <w:rFonts w:ascii="Times New Roman" w:hAnsi="Times New Roman" w:cs="Times New Roman"/>
          <w:sz w:val="24"/>
          <w:szCs w:val="24"/>
        </w:rPr>
        <w:t xml:space="preserve">sa v rámci svojich aktivít v tejto téme </w:t>
      </w:r>
      <w:r w:rsidR="00CF05B2">
        <w:rPr>
          <w:rFonts w:ascii="Times New Roman" w:hAnsi="Times New Roman" w:cs="Times New Roman"/>
          <w:sz w:val="24"/>
          <w:szCs w:val="24"/>
        </w:rPr>
        <w:t>sústreďuje na čiastkové kompetencie</w:t>
      </w:r>
      <w:r>
        <w:rPr>
          <w:rFonts w:ascii="Times New Roman" w:hAnsi="Times New Roman" w:cs="Times New Roman"/>
          <w:sz w:val="24"/>
          <w:szCs w:val="24"/>
        </w:rPr>
        <w:t xml:space="preserve"> </w:t>
      </w:r>
      <w:r w:rsidR="00CF05B2">
        <w:rPr>
          <w:rFonts w:ascii="Times New Roman" w:hAnsi="Times New Roman" w:cs="Times New Roman"/>
          <w:sz w:val="24"/>
          <w:szCs w:val="24"/>
        </w:rPr>
        <w:t>druhej (druhý stupeň ZŠ) a tretej úrovne (SŠ).</w:t>
      </w:r>
    </w:p>
    <w:p w:rsidR="008D1275" w:rsidRDefault="008D1275" w:rsidP="008D1275">
      <w:pPr>
        <w:jc w:val="both"/>
        <w:rPr>
          <w:rFonts w:ascii="Times New Roman" w:hAnsi="Times New Roman" w:cs="Times New Roman"/>
          <w:sz w:val="24"/>
          <w:szCs w:val="24"/>
        </w:rPr>
      </w:pPr>
    </w:p>
    <w:p w:rsidR="008D1275" w:rsidRDefault="008D1275" w:rsidP="008D1275">
      <w:pPr>
        <w:widowControl w:val="0"/>
        <w:autoSpaceDE w:val="0"/>
        <w:autoSpaceDN w:val="0"/>
        <w:adjustRightInd w:val="0"/>
        <w:spacing w:after="0" w:line="240" w:lineRule="auto"/>
        <w:rPr>
          <w:rFonts w:ascii="Cambria" w:hAnsi="Cambria" w:cs="Cambria"/>
          <w:b/>
          <w:bCs/>
          <w:color w:val="4472C4" w:themeColor="accent5"/>
          <w:sz w:val="26"/>
          <w:szCs w:val="26"/>
        </w:rPr>
      </w:pPr>
      <w:r w:rsidRPr="004058D2">
        <w:rPr>
          <w:rFonts w:ascii="Cambria" w:hAnsi="Cambria" w:cs="Cambria"/>
          <w:b/>
          <w:bCs/>
          <w:color w:val="4472C4" w:themeColor="accent5"/>
          <w:sz w:val="26"/>
          <w:szCs w:val="26"/>
        </w:rPr>
        <w:t>5. Sporenie a</w:t>
      </w:r>
      <w:r w:rsidR="00E1002C">
        <w:rPr>
          <w:rFonts w:ascii="Cambria" w:hAnsi="Cambria" w:cs="Cambria"/>
          <w:b/>
          <w:bCs/>
          <w:color w:val="4472C4" w:themeColor="accent5"/>
          <w:sz w:val="26"/>
          <w:szCs w:val="26"/>
        </w:rPr>
        <w:t> </w:t>
      </w:r>
      <w:r w:rsidRPr="004058D2">
        <w:rPr>
          <w:rFonts w:ascii="Cambria" w:hAnsi="Cambria" w:cs="Cambria"/>
          <w:b/>
          <w:bCs/>
          <w:color w:val="4472C4" w:themeColor="accent5"/>
          <w:sz w:val="26"/>
          <w:szCs w:val="26"/>
        </w:rPr>
        <w:t>investovanie</w:t>
      </w:r>
    </w:p>
    <w:p w:rsidR="00E1002C" w:rsidRPr="004058D2" w:rsidRDefault="00E1002C" w:rsidP="008D1275">
      <w:pPr>
        <w:widowControl w:val="0"/>
        <w:autoSpaceDE w:val="0"/>
        <w:autoSpaceDN w:val="0"/>
        <w:adjustRightInd w:val="0"/>
        <w:spacing w:after="0" w:line="240" w:lineRule="auto"/>
        <w:rPr>
          <w:rFonts w:ascii="Times New Roman" w:hAnsi="Times New Roman"/>
          <w:color w:val="4472C4" w:themeColor="accent5"/>
          <w:sz w:val="24"/>
          <w:szCs w:val="24"/>
        </w:rPr>
      </w:pPr>
    </w:p>
    <w:p w:rsidR="008D1275" w:rsidRDefault="008D1275" w:rsidP="008D1275">
      <w:pPr>
        <w:widowControl w:val="0"/>
        <w:autoSpaceDE w:val="0"/>
        <w:autoSpaceDN w:val="0"/>
        <w:adjustRightInd w:val="0"/>
        <w:spacing w:after="0" w:line="275" w:lineRule="exact"/>
        <w:rPr>
          <w:rFonts w:ascii="Times New Roman" w:hAnsi="Times New Roman"/>
          <w:sz w:val="24"/>
          <w:szCs w:val="24"/>
        </w:rPr>
      </w:pPr>
    </w:p>
    <w:p w:rsidR="008D1275" w:rsidRDefault="008D1275" w:rsidP="008D1275">
      <w:pPr>
        <w:widowControl w:val="0"/>
        <w:autoSpaceDE w:val="0"/>
        <w:autoSpaceDN w:val="0"/>
        <w:adjustRightInd w:val="0"/>
        <w:spacing w:after="0" w:line="240" w:lineRule="auto"/>
        <w:rPr>
          <w:rFonts w:ascii="Times New Roman" w:hAnsi="Times New Roman"/>
          <w:b/>
          <w:bCs/>
          <w:i/>
          <w:iCs/>
          <w:sz w:val="24"/>
          <w:szCs w:val="24"/>
          <w:u w:val="single"/>
        </w:rPr>
      </w:pPr>
      <w:r w:rsidRPr="00052931">
        <w:rPr>
          <w:rFonts w:ascii="Times New Roman" w:hAnsi="Times New Roman"/>
          <w:b/>
          <w:bCs/>
          <w:i/>
          <w:iCs/>
          <w:sz w:val="24"/>
          <w:szCs w:val="24"/>
          <w:u w:val="single"/>
        </w:rPr>
        <w:t>Celková kompetencia</w:t>
      </w:r>
    </w:p>
    <w:p w:rsidR="008A3E25" w:rsidRPr="00052931" w:rsidRDefault="008A3E25" w:rsidP="008D1275">
      <w:pPr>
        <w:widowControl w:val="0"/>
        <w:autoSpaceDE w:val="0"/>
        <w:autoSpaceDN w:val="0"/>
        <w:adjustRightInd w:val="0"/>
        <w:spacing w:after="0" w:line="240" w:lineRule="auto"/>
        <w:rPr>
          <w:rFonts w:ascii="Times New Roman" w:hAnsi="Times New Roman"/>
          <w:sz w:val="24"/>
          <w:szCs w:val="24"/>
        </w:rPr>
      </w:pPr>
    </w:p>
    <w:p w:rsidR="008D1275" w:rsidRPr="00052931" w:rsidRDefault="008D1275" w:rsidP="008D1275">
      <w:pPr>
        <w:widowControl w:val="0"/>
        <w:autoSpaceDE w:val="0"/>
        <w:autoSpaceDN w:val="0"/>
        <w:adjustRightInd w:val="0"/>
        <w:spacing w:after="0" w:line="277" w:lineRule="exact"/>
        <w:rPr>
          <w:rFonts w:ascii="Times New Roman" w:hAnsi="Times New Roman"/>
          <w:sz w:val="24"/>
          <w:szCs w:val="24"/>
        </w:rPr>
      </w:pPr>
    </w:p>
    <w:p w:rsidR="008D1275" w:rsidRDefault="008D1275" w:rsidP="008D1275">
      <w:pPr>
        <w:widowControl w:val="0"/>
        <w:autoSpaceDE w:val="0"/>
        <w:autoSpaceDN w:val="0"/>
        <w:adjustRightInd w:val="0"/>
        <w:spacing w:after="0" w:line="240" w:lineRule="auto"/>
        <w:rPr>
          <w:rFonts w:ascii="Times New Roman" w:hAnsi="Times New Roman"/>
          <w:b/>
          <w:bCs/>
          <w:i/>
          <w:iCs/>
          <w:sz w:val="24"/>
          <w:szCs w:val="24"/>
        </w:rPr>
      </w:pPr>
      <w:r w:rsidRPr="00052931">
        <w:rPr>
          <w:rFonts w:ascii="Times New Roman" w:hAnsi="Times New Roman"/>
          <w:b/>
          <w:bCs/>
          <w:i/>
          <w:iCs/>
          <w:sz w:val="24"/>
          <w:szCs w:val="24"/>
        </w:rPr>
        <w:t>Aplikácia rôznych investičných stratégií, ktoré sú v súlade s osobnými cieľmi</w:t>
      </w:r>
    </w:p>
    <w:p w:rsidR="008A3E25" w:rsidRPr="00052931" w:rsidRDefault="008A3E25" w:rsidP="008D1275">
      <w:pPr>
        <w:widowControl w:val="0"/>
        <w:autoSpaceDE w:val="0"/>
        <w:autoSpaceDN w:val="0"/>
        <w:adjustRightInd w:val="0"/>
        <w:spacing w:after="0" w:line="240" w:lineRule="auto"/>
        <w:rPr>
          <w:rFonts w:ascii="Times New Roman" w:hAnsi="Times New Roman"/>
          <w:sz w:val="24"/>
          <w:szCs w:val="24"/>
        </w:rPr>
      </w:pPr>
    </w:p>
    <w:p w:rsidR="008D1275" w:rsidRPr="00052931" w:rsidRDefault="008D1275" w:rsidP="008D1275">
      <w:pPr>
        <w:widowControl w:val="0"/>
        <w:autoSpaceDE w:val="0"/>
        <w:autoSpaceDN w:val="0"/>
        <w:adjustRightInd w:val="0"/>
        <w:spacing w:after="0" w:line="271" w:lineRule="exact"/>
        <w:rPr>
          <w:rFonts w:ascii="Times New Roman" w:hAnsi="Times New Roman"/>
          <w:sz w:val="24"/>
          <w:szCs w:val="24"/>
        </w:rPr>
      </w:pPr>
    </w:p>
    <w:p w:rsidR="008D1275" w:rsidRPr="00052931" w:rsidRDefault="008D1275" w:rsidP="00E1002C">
      <w:pPr>
        <w:widowControl w:val="0"/>
        <w:autoSpaceDE w:val="0"/>
        <w:autoSpaceDN w:val="0"/>
        <w:adjustRightInd w:val="0"/>
        <w:spacing w:after="120" w:line="360" w:lineRule="auto"/>
        <w:rPr>
          <w:rFonts w:ascii="Times New Roman" w:hAnsi="Times New Roman"/>
          <w:sz w:val="24"/>
          <w:szCs w:val="24"/>
        </w:rPr>
      </w:pPr>
      <w:r w:rsidRPr="00052931">
        <w:rPr>
          <w:rFonts w:ascii="Times New Roman" w:hAnsi="Times New Roman"/>
          <w:sz w:val="24"/>
          <w:szCs w:val="24"/>
        </w:rPr>
        <w:t>Čiastková kompetencia 1:    Vysvetliť, ako sporenie prispieva k finančnej prosperite</w:t>
      </w:r>
    </w:p>
    <w:p w:rsidR="008D1275" w:rsidRPr="00052931" w:rsidRDefault="008D1275" w:rsidP="00E1002C">
      <w:pPr>
        <w:widowControl w:val="0"/>
        <w:autoSpaceDE w:val="0"/>
        <w:autoSpaceDN w:val="0"/>
        <w:adjustRightInd w:val="0"/>
        <w:spacing w:after="120" w:line="360" w:lineRule="auto"/>
        <w:rPr>
          <w:rFonts w:ascii="Times New Roman" w:hAnsi="Times New Roman"/>
          <w:sz w:val="24"/>
          <w:szCs w:val="24"/>
        </w:rPr>
      </w:pPr>
      <w:r w:rsidRPr="00052931">
        <w:rPr>
          <w:rFonts w:ascii="Times New Roman" w:hAnsi="Times New Roman"/>
          <w:sz w:val="24"/>
          <w:szCs w:val="24"/>
        </w:rPr>
        <w:t>Čiastková kompetencia 2:    Zhodnotiť investičné alternatívy</w:t>
      </w:r>
      <w:r w:rsidRPr="00052931" w:rsidDel="00D942E7">
        <w:rPr>
          <w:rFonts w:ascii="Times New Roman" w:hAnsi="Times New Roman"/>
          <w:sz w:val="24"/>
          <w:szCs w:val="24"/>
        </w:rPr>
        <w:t xml:space="preserve"> </w:t>
      </w:r>
    </w:p>
    <w:p w:rsidR="008D1275" w:rsidRDefault="008D1275" w:rsidP="008D1275">
      <w:pPr>
        <w:jc w:val="both"/>
        <w:rPr>
          <w:rFonts w:ascii="Times New Roman" w:hAnsi="Times New Roman" w:cs="Times New Roman"/>
          <w:sz w:val="24"/>
          <w:szCs w:val="24"/>
        </w:rPr>
      </w:pPr>
    </w:p>
    <w:p w:rsidR="00192D46" w:rsidRDefault="00192D46" w:rsidP="008D1275">
      <w:pPr>
        <w:jc w:val="both"/>
        <w:rPr>
          <w:rFonts w:ascii="Times New Roman" w:hAnsi="Times New Roman" w:cs="Times New Roman"/>
          <w:sz w:val="24"/>
          <w:szCs w:val="24"/>
          <w:highlight w:val="yellow"/>
        </w:rPr>
      </w:pPr>
    </w:p>
    <w:p w:rsidR="00192D46" w:rsidRDefault="00192D46" w:rsidP="008D1275">
      <w:pPr>
        <w:jc w:val="both"/>
        <w:rPr>
          <w:rFonts w:ascii="Times New Roman" w:hAnsi="Times New Roman" w:cs="Times New Roman"/>
          <w:sz w:val="24"/>
          <w:szCs w:val="24"/>
          <w:highlight w:val="yellow"/>
        </w:rPr>
      </w:pPr>
    </w:p>
    <w:p w:rsidR="00192D46" w:rsidRDefault="00192D46" w:rsidP="008D1275">
      <w:pPr>
        <w:jc w:val="both"/>
        <w:rPr>
          <w:rFonts w:ascii="Times New Roman" w:hAnsi="Times New Roman" w:cs="Times New Roman"/>
          <w:sz w:val="24"/>
          <w:szCs w:val="24"/>
          <w:highlight w:val="yellow"/>
        </w:rPr>
      </w:pPr>
    </w:p>
    <w:p w:rsidR="00192D46" w:rsidRDefault="00192D46" w:rsidP="008D1275">
      <w:pPr>
        <w:jc w:val="both"/>
        <w:rPr>
          <w:rFonts w:ascii="Times New Roman" w:hAnsi="Times New Roman" w:cs="Times New Roman"/>
          <w:sz w:val="24"/>
          <w:szCs w:val="24"/>
          <w:highlight w:val="yellow"/>
        </w:rPr>
      </w:pPr>
    </w:p>
    <w:tbl>
      <w:tblPr>
        <w:tblW w:w="17152" w:type="dxa"/>
        <w:tblInd w:w="-10" w:type="dxa"/>
        <w:tblCellMar>
          <w:left w:w="70" w:type="dxa"/>
          <w:right w:w="70" w:type="dxa"/>
        </w:tblCellMar>
        <w:tblLook w:val="04A0" w:firstRow="1" w:lastRow="0" w:firstColumn="1" w:lastColumn="0" w:noHBand="0" w:noVBand="1"/>
      </w:tblPr>
      <w:tblGrid>
        <w:gridCol w:w="4296"/>
        <w:gridCol w:w="1336"/>
        <w:gridCol w:w="1160"/>
        <w:gridCol w:w="1036"/>
        <w:gridCol w:w="1036"/>
        <w:gridCol w:w="1036"/>
        <w:gridCol w:w="1036"/>
        <w:gridCol w:w="1036"/>
        <w:gridCol w:w="1036"/>
        <w:gridCol w:w="1036"/>
        <w:gridCol w:w="1036"/>
        <w:gridCol w:w="1036"/>
        <w:gridCol w:w="1036"/>
      </w:tblGrid>
      <w:tr w:rsidR="00192D46" w:rsidRPr="00192D46" w:rsidTr="00E1002C">
        <w:trPr>
          <w:trHeight w:val="880"/>
        </w:trPr>
        <w:tc>
          <w:tcPr>
            <w:tcW w:w="4296" w:type="dxa"/>
            <w:tcBorders>
              <w:top w:val="single" w:sz="8" w:space="0" w:color="auto"/>
              <w:left w:val="single" w:sz="8" w:space="0" w:color="auto"/>
              <w:bottom w:val="single" w:sz="8"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sz w:val="24"/>
                <w:szCs w:val="24"/>
                <w:lang w:eastAsia="sk-SK"/>
              </w:rPr>
            </w:pPr>
            <w:r w:rsidRPr="00192D46">
              <w:rPr>
                <w:rFonts w:ascii="Calibri" w:eastAsia="Times New Roman" w:hAnsi="Calibri" w:cs="Calibri"/>
                <w:b/>
                <w:bCs/>
                <w:color w:val="000000"/>
                <w:sz w:val="24"/>
                <w:szCs w:val="24"/>
                <w:lang w:eastAsia="sk-SK"/>
              </w:rPr>
              <w:lastRenderedPageBreak/>
              <w:t>Organizácia / Téma</w:t>
            </w:r>
          </w:p>
        </w:tc>
        <w:tc>
          <w:tcPr>
            <w:tcW w:w="133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Sporenie a investovanie</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noProof/>
                <w:color w:val="000000"/>
                <w:lang w:eastAsia="sk-SK"/>
              </w:rPr>
              <w:drawing>
                <wp:anchor distT="0" distB="0" distL="114300" distR="114300" simplePos="0" relativeHeight="251667456" behindDoc="0" locked="0" layoutInCell="1" allowOverlap="1">
                  <wp:simplePos x="0" y="0"/>
                  <wp:positionH relativeFrom="column">
                    <wp:posOffset>51435</wp:posOffset>
                  </wp:positionH>
                  <wp:positionV relativeFrom="paragraph">
                    <wp:posOffset>-720090</wp:posOffset>
                  </wp:positionV>
                  <wp:extent cx="6273165" cy="6365875"/>
                  <wp:effectExtent l="0" t="0" r="13335" b="15875"/>
                  <wp:wrapNone/>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Nadácia pre deti Slovenska</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83%</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Nadácia Slovenskej sporiteľne</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67%</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Slovenská banková asociácia</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17%</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 xml:space="preserve">OVB </w:t>
            </w:r>
            <w:proofErr w:type="spellStart"/>
            <w:r w:rsidRPr="00192D46">
              <w:rPr>
                <w:rFonts w:ascii="Calibri" w:eastAsia="Times New Roman" w:hAnsi="Calibri" w:cs="Calibri"/>
                <w:b/>
                <w:bCs/>
                <w:color w:val="000000"/>
                <w:lang w:eastAsia="sk-SK"/>
              </w:rPr>
              <w:t>Allfinanz</w:t>
            </w:r>
            <w:proofErr w:type="spellEnd"/>
            <w:r w:rsidRPr="00192D46">
              <w:rPr>
                <w:rFonts w:ascii="Calibri" w:eastAsia="Times New Roman" w:hAnsi="Calibri" w:cs="Calibri"/>
                <w:b/>
                <w:bCs/>
                <w:color w:val="000000"/>
                <w:lang w:eastAsia="sk-SK"/>
              </w:rPr>
              <w:t xml:space="preserve"> Slovensko a. s. </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C36571" w:rsidP="00192D46">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100</w:t>
            </w:r>
            <w:r w:rsidR="00192D46" w:rsidRPr="00192D46">
              <w:rPr>
                <w:rFonts w:ascii="Calibri" w:eastAsia="Times New Roman" w:hAnsi="Calibri" w:cs="Calibri"/>
                <w:b/>
                <w:bCs/>
                <w:color w:val="000000"/>
                <w:lang w:eastAsia="sk-SK"/>
              </w:rPr>
              <w:t>%</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roofErr w:type="spellStart"/>
            <w:r w:rsidRPr="00192D46">
              <w:rPr>
                <w:rFonts w:ascii="Calibri" w:eastAsia="Times New Roman" w:hAnsi="Calibri" w:cs="Calibri"/>
                <w:b/>
                <w:bCs/>
                <w:color w:val="000000"/>
                <w:lang w:eastAsia="sk-SK"/>
              </w:rPr>
              <w:t>Minist</w:t>
            </w:r>
            <w:proofErr w:type="spellEnd"/>
            <w:r w:rsidRPr="00192D46">
              <w:rPr>
                <w:rFonts w:ascii="Calibri" w:eastAsia="Times New Roman" w:hAnsi="Calibri" w:cs="Calibri"/>
                <w:b/>
                <w:bCs/>
                <w:color w:val="000000"/>
                <w:lang w:eastAsia="sk-SK"/>
              </w:rPr>
              <w:t>. financií SR.-</w:t>
            </w:r>
            <w:proofErr w:type="spellStart"/>
            <w:r w:rsidRPr="00192D46">
              <w:rPr>
                <w:rFonts w:ascii="Calibri" w:eastAsia="Times New Roman" w:hAnsi="Calibri" w:cs="Calibri"/>
                <w:b/>
                <w:bCs/>
                <w:color w:val="000000"/>
                <w:lang w:eastAsia="sk-SK"/>
              </w:rPr>
              <w:t>Odb.ochrany</w:t>
            </w:r>
            <w:proofErr w:type="spellEnd"/>
            <w:r w:rsidRPr="00192D46">
              <w:rPr>
                <w:rFonts w:ascii="Calibri" w:eastAsia="Times New Roman" w:hAnsi="Calibri" w:cs="Calibri"/>
                <w:b/>
                <w:bCs/>
                <w:color w:val="000000"/>
                <w:lang w:eastAsia="sk-SK"/>
              </w:rPr>
              <w:t xml:space="preserve"> </w:t>
            </w:r>
            <w:proofErr w:type="spellStart"/>
            <w:r w:rsidRPr="00192D46">
              <w:rPr>
                <w:rFonts w:ascii="Calibri" w:eastAsia="Times New Roman" w:hAnsi="Calibri" w:cs="Calibri"/>
                <w:b/>
                <w:bCs/>
                <w:color w:val="000000"/>
                <w:lang w:eastAsia="sk-SK"/>
              </w:rPr>
              <w:t>fin.spotreb</w:t>
            </w:r>
            <w:proofErr w:type="spellEnd"/>
            <w:r w:rsidRPr="00192D46">
              <w:rPr>
                <w:rFonts w:ascii="Calibri" w:eastAsia="Times New Roman" w:hAnsi="Calibri" w:cs="Calibri"/>
                <w:b/>
                <w:bCs/>
                <w:color w:val="000000"/>
                <w:lang w:eastAsia="sk-SK"/>
              </w:rPr>
              <w:t>.</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NBS-odbor ochrany slovenských spotrebiteľ.</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50%</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Metodicko-pedagogické centrum</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67%</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Finančné riaditeľstvo SR</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CKÚ OLAF ÚV SR</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Odbor prevencie korupcie ÚV SR</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Štátna školská inšpekcia</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 xml:space="preserve">Ministerstvo hospodárstva SR </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JA Slovensko</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83%</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 xml:space="preserve"> Úrad </w:t>
            </w:r>
            <w:proofErr w:type="spellStart"/>
            <w:r w:rsidRPr="00192D46">
              <w:rPr>
                <w:rFonts w:ascii="Calibri" w:eastAsia="Times New Roman" w:hAnsi="Calibri" w:cs="Calibri"/>
                <w:color w:val="000000"/>
                <w:lang w:eastAsia="sk-SK"/>
              </w:rPr>
              <w:t>splnomoc</w:t>
            </w:r>
            <w:proofErr w:type="spellEnd"/>
            <w:r w:rsidRPr="00192D46">
              <w:rPr>
                <w:rFonts w:ascii="Calibri" w:eastAsia="Times New Roman" w:hAnsi="Calibri" w:cs="Calibri"/>
                <w:color w:val="000000"/>
                <w:lang w:eastAsia="sk-SK"/>
              </w:rPr>
              <w:t xml:space="preserve">. vlády SR pre </w:t>
            </w:r>
            <w:proofErr w:type="spellStart"/>
            <w:r w:rsidRPr="00192D46">
              <w:rPr>
                <w:rFonts w:ascii="Calibri" w:eastAsia="Times New Roman" w:hAnsi="Calibri" w:cs="Calibri"/>
                <w:color w:val="000000"/>
                <w:lang w:eastAsia="sk-SK"/>
              </w:rPr>
              <w:t>róm</w:t>
            </w:r>
            <w:proofErr w:type="spellEnd"/>
            <w:r w:rsidRPr="00192D46">
              <w:rPr>
                <w:rFonts w:ascii="Calibri" w:eastAsia="Times New Roman" w:hAnsi="Calibri" w:cs="Calibri"/>
                <w:color w:val="000000"/>
                <w:lang w:eastAsia="sk-SK"/>
              </w:rPr>
              <w:t>. komunity</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NÚCEM</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SLASPO - Slovenská asociácia poisťovní</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ŠIOV - FG a SCCF</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33%</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nil"/>
              <w:left w:val="single" w:sz="8" w:space="0" w:color="auto"/>
              <w:bottom w:val="nil"/>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EUBA - Ekonomická Univerzita</w:t>
            </w:r>
          </w:p>
        </w:tc>
        <w:tc>
          <w:tcPr>
            <w:tcW w:w="1336"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33%</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379"/>
        </w:trPr>
        <w:tc>
          <w:tcPr>
            <w:tcW w:w="4296" w:type="dxa"/>
            <w:tcBorders>
              <w:top w:val="single" w:sz="4" w:space="0" w:color="auto"/>
              <w:left w:val="single" w:sz="8" w:space="0" w:color="auto"/>
              <w:bottom w:val="single" w:sz="8"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ŠPÚ - Štátny pedagogický ústav</w:t>
            </w:r>
          </w:p>
        </w:tc>
        <w:tc>
          <w:tcPr>
            <w:tcW w:w="1336" w:type="dxa"/>
            <w:tcBorders>
              <w:top w:val="nil"/>
              <w:left w:val="single" w:sz="4" w:space="0" w:color="auto"/>
              <w:bottom w:val="single" w:sz="8"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67%</w:t>
            </w: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E1002C">
        <w:trPr>
          <w:trHeight w:val="599"/>
        </w:trPr>
        <w:tc>
          <w:tcPr>
            <w:tcW w:w="429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3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16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6"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bl>
    <w:p w:rsidR="00CF05B2" w:rsidRPr="00CF05B2" w:rsidRDefault="00CF05B2" w:rsidP="0009411B">
      <w:pPr>
        <w:spacing w:after="120" w:line="360" w:lineRule="auto"/>
        <w:jc w:val="both"/>
        <w:rPr>
          <w:rFonts w:ascii="Times New Roman" w:hAnsi="Times New Roman" w:cs="Times New Roman"/>
          <w:sz w:val="24"/>
          <w:szCs w:val="24"/>
        </w:rPr>
      </w:pPr>
      <w:r>
        <w:rPr>
          <w:rFonts w:ascii="Times New Roman" w:hAnsi="Times New Roman"/>
          <w:sz w:val="24"/>
          <w:szCs w:val="24"/>
        </w:rPr>
        <w:lastRenderedPageBreak/>
        <w:t xml:space="preserve">Piatej </w:t>
      </w:r>
      <w:r>
        <w:rPr>
          <w:rFonts w:ascii="Times New Roman" w:hAnsi="Times New Roman" w:cs="Times New Roman"/>
          <w:sz w:val="24"/>
          <w:szCs w:val="24"/>
        </w:rPr>
        <w:t xml:space="preserve">téme </w:t>
      </w:r>
      <w:r w:rsidR="003E1C31">
        <w:rPr>
          <w:rFonts w:ascii="Times New Roman" w:hAnsi="Times New Roman" w:cs="Times New Roman"/>
          <w:sz w:val="24"/>
          <w:szCs w:val="24"/>
        </w:rPr>
        <w:t xml:space="preserve">sa na 100 % venuje </w:t>
      </w:r>
      <w:r w:rsidR="003E1C31" w:rsidRPr="003E1C31">
        <w:rPr>
          <w:rFonts w:ascii="Times New Roman" w:hAnsi="Times New Roman" w:cs="Times New Roman"/>
          <w:b/>
          <w:sz w:val="24"/>
          <w:szCs w:val="24"/>
        </w:rPr>
        <w:t>OVB</w:t>
      </w:r>
      <w:r w:rsidR="003E1C31">
        <w:rPr>
          <w:rFonts w:ascii="Times New Roman" w:hAnsi="Times New Roman" w:cs="Times New Roman"/>
          <w:b/>
          <w:sz w:val="24"/>
          <w:szCs w:val="24"/>
        </w:rPr>
        <w:t xml:space="preserve">. </w:t>
      </w:r>
      <w:r w:rsidR="003E1C31" w:rsidRPr="003E1C31">
        <w:rPr>
          <w:rFonts w:ascii="Times New Roman" w:hAnsi="Times New Roman" w:cs="Times New Roman"/>
          <w:sz w:val="24"/>
          <w:szCs w:val="24"/>
        </w:rPr>
        <w:t>Téme</w:t>
      </w:r>
      <w:r w:rsidR="003E1C31">
        <w:rPr>
          <w:rFonts w:ascii="Times New Roman" w:hAnsi="Times New Roman" w:cs="Times New Roman"/>
          <w:b/>
          <w:sz w:val="24"/>
          <w:szCs w:val="24"/>
        </w:rPr>
        <w:t xml:space="preserve"> </w:t>
      </w:r>
      <w:r>
        <w:rPr>
          <w:rFonts w:ascii="Times New Roman" w:hAnsi="Times New Roman" w:cs="Times New Roman"/>
          <w:sz w:val="24"/>
          <w:szCs w:val="24"/>
        </w:rPr>
        <w:t xml:space="preserve">a jej dvom čiastkovým kompetenciám </w:t>
      </w:r>
      <w:r w:rsidR="00DA5EFE" w:rsidRPr="00670F27">
        <w:rPr>
          <w:rFonts w:ascii="Times New Roman" w:hAnsi="Times New Roman" w:cs="Times New Roman"/>
          <w:sz w:val="24"/>
          <w:szCs w:val="24"/>
        </w:rPr>
        <w:t>sa</w:t>
      </w:r>
      <w:r w:rsidR="00670F27">
        <w:rPr>
          <w:rFonts w:ascii="Times New Roman" w:hAnsi="Times New Roman" w:cs="Times New Roman"/>
          <w:sz w:val="24"/>
          <w:szCs w:val="24"/>
        </w:rPr>
        <w:t xml:space="preserve"> venujú</w:t>
      </w:r>
      <w:r>
        <w:rPr>
          <w:rFonts w:ascii="Times New Roman" w:hAnsi="Times New Roman" w:cs="Times New Roman"/>
          <w:sz w:val="24"/>
          <w:szCs w:val="24"/>
        </w:rPr>
        <w:t xml:space="preserve"> na 83 % </w:t>
      </w:r>
      <w:r>
        <w:rPr>
          <w:rFonts w:ascii="Times New Roman" w:hAnsi="Times New Roman" w:cs="Times New Roman"/>
          <w:b/>
          <w:sz w:val="24"/>
          <w:szCs w:val="24"/>
        </w:rPr>
        <w:t xml:space="preserve">JA SR a </w:t>
      </w:r>
      <w:r w:rsidRPr="00CF05B2">
        <w:rPr>
          <w:rFonts w:ascii="Times New Roman" w:hAnsi="Times New Roman" w:cs="Times New Roman"/>
          <w:b/>
          <w:sz w:val="24"/>
          <w:szCs w:val="24"/>
        </w:rPr>
        <w:t>Nadácia pre deti Slovenska</w:t>
      </w:r>
      <w:r w:rsidRPr="0037459D">
        <w:rPr>
          <w:rFonts w:ascii="Times New Roman" w:hAnsi="Times New Roman" w:cs="Times New Roman"/>
          <w:b/>
          <w:sz w:val="24"/>
          <w:szCs w:val="24"/>
        </w:rPr>
        <w:t>.</w:t>
      </w:r>
      <w:r>
        <w:rPr>
          <w:rFonts w:ascii="Times New Roman" w:hAnsi="Times New Roman" w:cs="Times New Roman"/>
          <w:b/>
          <w:sz w:val="24"/>
          <w:szCs w:val="24"/>
        </w:rPr>
        <w:t xml:space="preserve"> </w:t>
      </w:r>
      <w:r w:rsidRPr="00CF05B2">
        <w:rPr>
          <w:rFonts w:ascii="Times New Roman" w:hAnsi="Times New Roman" w:cs="Times New Roman"/>
          <w:sz w:val="24"/>
          <w:szCs w:val="24"/>
        </w:rPr>
        <w:t>Pričom</w:t>
      </w:r>
      <w:r>
        <w:rPr>
          <w:rFonts w:ascii="Times New Roman" w:hAnsi="Times New Roman" w:cs="Times New Roman"/>
          <w:b/>
          <w:sz w:val="24"/>
          <w:szCs w:val="24"/>
        </w:rPr>
        <w:t xml:space="preserve"> </w:t>
      </w:r>
      <w:r w:rsidRPr="00CF05B2">
        <w:rPr>
          <w:rFonts w:ascii="Times New Roman" w:hAnsi="Times New Roman" w:cs="Times New Roman"/>
          <w:b/>
          <w:sz w:val="24"/>
          <w:szCs w:val="24"/>
        </w:rPr>
        <w:t>Nadácia pre deti Slovenska</w:t>
      </w:r>
      <w:r>
        <w:rPr>
          <w:rFonts w:ascii="Times New Roman" w:hAnsi="Times New Roman" w:cs="Times New Roman"/>
          <w:b/>
          <w:sz w:val="24"/>
          <w:szCs w:val="24"/>
        </w:rPr>
        <w:t xml:space="preserve"> </w:t>
      </w:r>
      <w:r w:rsidRPr="00CF05B2">
        <w:rPr>
          <w:rFonts w:ascii="Times New Roman" w:hAnsi="Times New Roman" w:cs="Times New Roman"/>
          <w:sz w:val="24"/>
          <w:szCs w:val="24"/>
        </w:rPr>
        <w:t>aj</w:t>
      </w:r>
      <w:r>
        <w:rPr>
          <w:rFonts w:ascii="Times New Roman" w:hAnsi="Times New Roman" w:cs="Times New Roman"/>
          <w:b/>
          <w:sz w:val="24"/>
          <w:szCs w:val="24"/>
        </w:rPr>
        <w:t xml:space="preserve"> JA SR </w:t>
      </w:r>
      <w:r w:rsidRPr="00CF05B2">
        <w:rPr>
          <w:rFonts w:ascii="Times New Roman" w:hAnsi="Times New Roman" w:cs="Times New Roman"/>
          <w:sz w:val="24"/>
          <w:szCs w:val="24"/>
        </w:rPr>
        <w:t>sa v rámci druhej čiastkovej kompetencie nezaoberajú prvou úrovňou.</w:t>
      </w:r>
      <w:r>
        <w:rPr>
          <w:rFonts w:ascii="Times New Roman" w:hAnsi="Times New Roman" w:cs="Times New Roman"/>
          <w:sz w:val="24"/>
          <w:szCs w:val="24"/>
        </w:rPr>
        <w:t xml:space="preserve"> </w:t>
      </w:r>
    </w:p>
    <w:p w:rsidR="00CF05B2" w:rsidRPr="00F5645F" w:rsidRDefault="00CF05B2" w:rsidP="0009411B">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ŠPÚ, MPC a </w:t>
      </w:r>
      <w:r w:rsidR="00F5645F" w:rsidRPr="00F5645F">
        <w:rPr>
          <w:rFonts w:ascii="Times New Roman" w:hAnsi="Times New Roman" w:cs="Times New Roman"/>
          <w:b/>
          <w:sz w:val="24"/>
          <w:szCs w:val="24"/>
        </w:rPr>
        <w:t xml:space="preserve">OVB </w:t>
      </w:r>
      <w:proofErr w:type="spellStart"/>
      <w:r w:rsidR="00F5645F" w:rsidRPr="00F5645F">
        <w:rPr>
          <w:rFonts w:ascii="Times New Roman" w:hAnsi="Times New Roman" w:cs="Times New Roman"/>
          <w:b/>
          <w:sz w:val="24"/>
          <w:szCs w:val="24"/>
        </w:rPr>
        <w:t>Allfinanz</w:t>
      </w:r>
      <w:proofErr w:type="spellEnd"/>
      <w:r w:rsidR="00F5645F" w:rsidRPr="00F5645F">
        <w:rPr>
          <w:rFonts w:ascii="Times New Roman" w:hAnsi="Times New Roman" w:cs="Times New Roman"/>
          <w:b/>
          <w:sz w:val="24"/>
          <w:szCs w:val="24"/>
        </w:rPr>
        <w:t xml:space="preserve"> Slovensko a. s. </w:t>
      </w:r>
      <w:r w:rsidR="00F5645F">
        <w:rPr>
          <w:rFonts w:ascii="Times New Roman" w:hAnsi="Times New Roman" w:cs="Times New Roman"/>
          <w:sz w:val="24"/>
          <w:szCs w:val="24"/>
        </w:rPr>
        <w:t xml:space="preserve">sa piatej </w:t>
      </w:r>
      <w:r w:rsidRPr="00243CA9">
        <w:rPr>
          <w:rFonts w:ascii="Times New Roman" w:hAnsi="Times New Roman" w:cs="Times New Roman"/>
          <w:sz w:val="24"/>
          <w:szCs w:val="24"/>
        </w:rPr>
        <w:t>téme</w:t>
      </w:r>
      <w:r w:rsidR="00F5645F">
        <w:rPr>
          <w:rFonts w:ascii="Times New Roman" w:hAnsi="Times New Roman" w:cs="Times New Roman"/>
          <w:sz w:val="24"/>
          <w:szCs w:val="24"/>
        </w:rPr>
        <w:t xml:space="preserve"> </w:t>
      </w:r>
      <w:r w:rsidRPr="00243CA9">
        <w:rPr>
          <w:rFonts w:ascii="Times New Roman" w:hAnsi="Times New Roman" w:cs="Times New Roman"/>
          <w:sz w:val="24"/>
          <w:szCs w:val="24"/>
        </w:rPr>
        <w:t>a</w:t>
      </w:r>
      <w:r>
        <w:rPr>
          <w:rFonts w:ascii="Times New Roman" w:hAnsi="Times New Roman" w:cs="Times New Roman"/>
          <w:b/>
          <w:sz w:val="24"/>
          <w:szCs w:val="24"/>
        </w:rPr>
        <w:t xml:space="preserve"> </w:t>
      </w:r>
      <w:r w:rsidR="00F5645F">
        <w:rPr>
          <w:rFonts w:ascii="Times New Roman" w:hAnsi="Times New Roman" w:cs="Times New Roman"/>
          <w:sz w:val="24"/>
          <w:szCs w:val="24"/>
        </w:rPr>
        <w:t>jej</w:t>
      </w:r>
      <w:r>
        <w:rPr>
          <w:rFonts w:ascii="Times New Roman" w:hAnsi="Times New Roman" w:cs="Times New Roman"/>
          <w:sz w:val="24"/>
          <w:szCs w:val="24"/>
        </w:rPr>
        <w:t xml:space="preserve"> č</w:t>
      </w:r>
      <w:r w:rsidR="00F5645F">
        <w:rPr>
          <w:rFonts w:ascii="Times New Roman" w:hAnsi="Times New Roman" w:cs="Times New Roman"/>
          <w:sz w:val="24"/>
          <w:szCs w:val="24"/>
        </w:rPr>
        <w:t xml:space="preserve">iastkovým kompetenciám </w:t>
      </w:r>
      <w:r>
        <w:rPr>
          <w:rFonts w:ascii="Times New Roman" w:hAnsi="Times New Roman" w:cs="Times New Roman"/>
          <w:sz w:val="24"/>
          <w:szCs w:val="24"/>
        </w:rPr>
        <w:t xml:space="preserve">venujú každá na 67 %. </w:t>
      </w:r>
      <w:r w:rsidR="00F5645F">
        <w:rPr>
          <w:rFonts w:ascii="Times New Roman" w:hAnsi="Times New Roman" w:cs="Times New Roman"/>
          <w:sz w:val="24"/>
          <w:szCs w:val="24"/>
        </w:rPr>
        <w:t xml:space="preserve"> </w:t>
      </w:r>
      <w:r w:rsidRPr="00534557">
        <w:rPr>
          <w:rFonts w:ascii="Times New Roman" w:hAnsi="Times New Roman" w:cs="Times New Roman"/>
          <w:b/>
          <w:sz w:val="24"/>
          <w:szCs w:val="24"/>
        </w:rPr>
        <w:t>ŠPÚ</w:t>
      </w:r>
      <w:r>
        <w:rPr>
          <w:rFonts w:ascii="Times New Roman" w:hAnsi="Times New Roman" w:cs="Times New Roman"/>
          <w:sz w:val="24"/>
          <w:szCs w:val="24"/>
        </w:rPr>
        <w:t xml:space="preserve"> sa venuje čiastkovým kompetenciám v rámci prvej a druhej úrovne, teda základnej škole ako takej. </w:t>
      </w:r>
      <w:r w:rsidRPr="00534557">
        <w:rPr>
          <w:rFonts w:ascii="Times New Roman" w:hAnsi="Times New Roman" w:cs="Times New Roman"/>
          <w:b/>
          <w:sz w:val="24"/>
          <w:szCs w:val="24"/>
        </w:rPr>
        <w:t>MPC</w:t>
      </w:r>
      <w:r>
        <w:rPr>
          <w:rFonts w:ascii="Times New Roman" w:hAnsi="Times New Roman" w:cs="Times New Roman"/>
          <w:sz w:val="24"/>
          <w:szCs w:val="24"/>
        </w:rPr>
        <w:t xml:space="preserve"> </w:t>
      </w:r>
      <w:r w:rsidR="00F5645F">
        <w:rPr>
          <w:rFonts w:ascii="Times New Roman" w:hAnsi="Times New Roman" w:cs="Times New Roman"/>
          <w:sz w:val="24"/>
          <w:szCs w:val="24"/>
        </w:rPr>
        <w:t xml:space="preserve">a </w:t>
      </w:r>
      <w:r w:rsidR="00F5645F" w:rsidRPr="00F5645F">
        <w:rPr>
          <w:rFonts w:ascii="Times New Roman" w:hAnsi="Times New Roman" w:cs="Times New Roman"/>
          <w:b/>
          <w:sz w:val="24"/>
          <w:szCs w:val="24"/>
        </w:rPr>
        <w:t xml:space="preserve">OVB </w:t>
      </w:r>
      <w:proofErr w:type="spellStart"/>
      <w:r w:rsidR="00F5645F" w:rsidRPr="00F5645F">
        <w:rPr>
          <w:rFonts w:ascii="Times New Roman" w:hAnsi="Times New Roman" w:cs="Times New Roman"/>
          <w:b/>
          <w:sz w:val="24"/>
          <w:szCs w:val="24"/>
        </w:rPr>
        <w:t>Allfinanz</w:t>
      </w:r>
      <w:proofErr w:type="spellEnd"/>
      <w:r w:rsidR="00F5645F" w:rsidRPr="00F5645F">
        <w:rPr>
          <w:rFonts w:ascii="Times New Roman" w:hAnsi="Times New Roman" w:cs="Times New Roman"/>
          <w:b/>
          <w:sz w:val="24"/>
          <w:szCs w:val="24"/>
        </w:rPr>
        <w:t xml:space="preserve"> Slovensko a. s. </w:t>
      </w:r>
      <w:r>
        <w:rPr>
          <w:rFonts w:ascii="Times New Roman" w:hAnsi="Times New Roman" w:cs="Times New Roman"/>
          <w:sz w:val="24"/>
          <w:szCs w:val="24"/>
        </w:rPr>
        <w:t xml:space="preserve">sa zaoberá čiastkovými kompetenciami druhej (druhý stupeň ZŠ) a tretej úrovne (SŠ). </w:t>
      </w:r>
    </w:p>
    <w:p w:rsidR="008D1275" w:rsidRDefault="008D1275" w:rsidP="00DD37A7">
      <w:pPr>
        <w:jc w:val="both"/>
        <w:rPr>
          <w:rFonts w:ascii="Times New Roman" w:hAnsi="Times New Roman" w:cs="Times New Roman"/>
          <w:sz w:val="24"/>
          <w:szCs w:val="24"/>
        </w:rPr>
      </w:pPr>
    </w:p>
    <w:p w:rsidR="008D1275" w:rsidRDefault="008D1275" w:rsidP="008D1275">
      <w:pPr>
        <w:widowControl w:val="0"/>
        <w:autoSpaceDE w:val="0"/>
        <w:autoSpaceDN w:val="0"/>
        <w:adjustRightInd w:val="0"/>
        <w:spacing w:after="0" w:line="240" w:lineRule="auto"/>
        <w:rPr>
          <w:rFonts w:ascii="Cambria" w:hAnsi="Cambria" w:cs="Cambria"/>
          <w:b/>
          <w:bCs/>
          <w:color w:val="4472C4" w:themeColor="accent5"/>
          <w:sz w:val="26"/>
          <w:szCs w:val="26"/>
        </w:rPr>
      </w:pPr>
      <w:r w:rsidRPr="004058D2">
        <w:rPr>
          <w:rFonts w:ascii="Cambria" w:hAnsi="Cambria" w:cs="Cambria"/>
          <w:b/>
          <w:bCs/>
          <w:color w:val="4472C4" w:themeColor="accent5"/>
          <w:sz w:val="26"/>
          <w:szCs w:val="26"/>
        </w:rPr>
        <w:t>6. Riadenie rizika a</w:t>
      </w:r>
      <w:r w:rsidR="00E1002C">
        <w:rPr>
          <w:rFonts w:ascii="Cambria" w:hAnsi="Cambria" w:cs="Cambria"/>
          <w:b/>
          <w:bCs/>
          <w:color w:val="4472C4" w:themeColor="accent5"/>
          <w:sz w:val="26"/>
          <w:szCs w:val="26"/>
        </w:rPr>
        <w:t> </w:t>
      </w:r>
      <w:r w:rsidRPr="004058D2">
        <w:rPr>
          <w:rFonts w:ascii="Cambria" w:hAnsi="Cambria" w:cs="Cambria"/>
          <w:b/>
          <w:bCs/>
          <w:color w:val="4472C4" w:themeColor="accent5"/>
          <w:sz w:val="26"/>
          <w:szCs w:val="26"/>
        </w:rPr>
        <w:t>poistenie</w:t>
      </w:r>
    </w:p>
    <w:p w:rsidR="00E1002C" w:rsidRPr="004058D2" w:rsidRDefault="00E1002C" w:rsidP="008D1275">
      <w:pPr>
        <w:widowControl w:val="0"/>
        <w:autoSpaceDE w:val="0"/>
        <w:autoSpaceDN w:val="0"/>
        <w:adjustRightInd w:val="0"/>
        <w:spacing w:after="0" w:line="240" w:lineRule="auto"/>
        <w:rPr>
          <w:rFonts w:ascii="Cambria" w:hAnsi="Cambria" w:cs="Cambria"/>
          <w:b/>
          <w:bCs/>
          <w:color w:val="4472C4" w:themeColor="accent5"/>
          <w:sz w:val="26"/>
          <w:szCs w:val="26"/>
        </w:rPr>
      </w:pPr>
    </w:p>
    <w:p w:rsidR="008D1275" w:rsidRPr="00817F1A" w:rsidRDefault="008D1275" w:rsidP="008D1275">
      <w:pPr>
        <w:widowControl w:val="0"/>
        <w:autoSpaceDE w:val="0"/>
        <w:autoSpaceDN w:val="0"/>
        <w:adjustRightInd w:val="0"/>
        <w:spacing w:after="0" w:line="240" w:lineRule="auto"/>
        <w:rPr>
          <w:rFonts w:ascii="Times New Roman" w:hAnsi="Times New Roman"/>
          <w:color w:val="2F5496" w:themeColor="accent5" w:themeShade="BF"/>
          <w:sz w:val="24"/>
          <w:szCs w:val="24"/>
        </w:rPr>
      </w:pPr>
    </w:p>
    <w:p w:rsidR="008D1275" w:rsidRDefault="008D1275" w:rsidP="008D1275">
      <w:pPr>
        <w:widowControl w:val="0"/>
        <w:autoSpaceDE w:val="0"/>
        <w:autoSpaceDN w:val="0"/>
        <w:adjustRightInd w:val="0"/>
        <w:spacing w:after="0" w:line="240" w:lineRule="auto"/>
        <w:rPr>
          <w:rFonts w:ascii="Times New Roman" w:hAnsi="Times New Roman"/>
          <w:b/>
          <w:bCs/>
          <w:i/>
          <w:iCs/>
          <w:sz w:val="24"/>
          <w:szCs w:val="24"/>
          <w:u w:val="single"/>
        </w:rPr>
      </w:pPr>
      <w:r w:rsidRPr="00052931">
        <w:rPr>
          <w:rFonts w:ascii="Times New Roman" w:hAnsi="Times New Roman"/>
          <w:b/>
          <w:bCs/>
          <w:i/>
          <w:iCs/>
          <w:sz w:val="24"/>
          <w:szCs w:val="24"/>
          <w:u w:val="single"/>
        </w:rPr>
        <w:t>Celková kompetencia</w:t>
      </w:r>
    </w:p>
    <w:p w:rsidR="008A3E25" w:rsidRPr="00052931" w:rsidRDefault="008A3E25" w:rsidP="008D1275">
      <w:pPr>
        <w:widowControl w:val="0"/>
        <w:autoSpaceDE w:val="0"/>
        <w:autoSpaceDN w:val="0"/>
        <w:adjustRightInd w:val="0"/>
        <w:spacing w:after="0" w:line="240" w:lineRule="auto"/>
        <w:rPr>
          <w:rFonts w:ascii="Times New Roman" w:hAnsi="Times New Roman"/>
          <w:sz w:val="24"/>
          <w:szCs w:val="24"/>
        </w:rPr>
      </w:pPr>
    </w:p>
    <w:p w:rsidR="008D1275" w:rsidRPr="00052931" w:rsidRDefault="008D1275" w:rsidP="008D1275">
      <w:pPr>
        <w:widowControl w:val="0"/>
        <w:autoSpaceDE w:val="0"/>
        <w:autoSpaceDN w:val="0"/>
        <w:adjustRightInd w:val="0"/>
        <w:spacing w:after="0" w:line="276" w:lineRule="exact"/>
        <w:rPr>
          <w:rFonts w:ascii="Times New Roman" w:hAnsi="Times New Roman"/>
          <w:sz w:val="24"/>
          <w:szCs w:val="24"/>
        </w:rPr>
      </w:pPr>
    </w:p>
    <w:p w:rsidR="008D1275" w:rsidRDefault="008D1275" w:rsidP="008D1275">
      <w:pPr>
        <w:widowControl w:val="0"/>
        <w:autoSpaceDE w:val="0"/>
        <w:autoSpaceDN w:val="0"/>
        <w:adjustRightInd w:val="0"/>
        <w:spacing w:after="0" w:line="240" w:lineRule="auto"/>
        <w:rPr>
          <w:rFonts w:ascii="Times New Roman" w:hAnsi="Times New Roman"/>
          <w:b/>
          <w:bCs/>
          <w:i/>
          <w:iCs/>
          <w:sz w:val="24"/>
          <w:szCs w:val="24"/>
        </w:rPr>
      </w:pPr>
      <w:r w:rsidRPr="00052931">
        <w:rPr>
          <w:rFonts w:ascii="Times New Roman" w:hAnsi="Times New Roman"/>
          <w:b/>
          <w:bCs/>
          <w:i/>
          <w:iCs/>
          <w:sz w:val="24"/>
          <w:szCs w:val="24"/>
        </w:rPr>
        <w:t>Používanie primeraných stratégií riadenia rizík</w:t>
      </w:r>
    </w:p>
    <w:p w:rsidR="008A3E25" w:rsidRPr="00052931" w:rsidRDefault="008A3E25" w:rsidP="008D1275">
      <w:pPr>
        <w:widowControl w:val="0"/>
        <w:autoSpaceDE w:val="0"/>
        <w:autoSpaceDN w:val="0"/>
        <w:adjustRightInd w:val="0"/>
        <w:spacing w:after="0" w:line="240" w:lineRule="auto"/>
        <w:rPr>
          <w:rFonts w:ascii="Times New Roman" w:hAnsi="Times New Roman"/>
          <w:sz w:val="24"/>
          <w:szCs w:val="24"/>
        </w:rPr>
      </w:pPr>
    </w:p>
    <w:p w:rsidR="008D1275" w:rsidRPr="00052931" w:rsidRDefault="008D1275" w:rsidP="008D1275">
      <w:pPr>
        <w:widowControl w:val="0"/>
        <w:autoSpaceDE w:val="0"/>
        <w:autoSpaceDN w:val="0"/>
        <w:adjustRightInd w:val="0"/>
        <w:spacing w:after="0" w:line="272" w:lineRule="exact"/>
        <w:rPr>
          <w:rFonts w:ascii="Times New Roman" w:hAnsi="Times New Roman"/>
          <w:sz w:val="24"/>
          <w:szCs w:val="24"/>
        </w:rPr>
      </w:pPr>
    </w:p>
    <w:p w:rsidR="008D1275" w:rsidRPr="00052931" w:rsidRDefault="008D1275" w:rsidP="00E1002C">
      <w:pPr>
        <w:widowControl w:val="0"/>
        <w:autoSpaceDE w:val="0"/>
        <w:autoSpaceDN w:val="0"/>
        <w:adjustRightInd w:val="0"/>
        <w:spacing w:after="120" w:line="360" w:lineRule="auto"/>
        <w:rPr>
          <w:rFonts w:ascii="Times New Roman" w:hAnsi="Times New Roman"/>
          <w:sz w:val="24"/>
          <w:szCs w:val="24"/>
        </w:rPr>
      </w:pPr>
      <w:r w:rsidRPr="00052931">
        <w:rPr>
          <w:rFonts w:ascii="Times New Roman" w:hAnsi="Times New Roman"/>
          <w:sz w:val="24"/>
          <w:szCs w:val="24"/>
        </w:rPr>
        <w:t>Čiastková kompetencia 1:    Vysvetliť pojem riziko a pojem poistenie</w:t>
      </w:r>
    </w:p>
    <w:p w:rsidR="008D1275" w:rsidRPr="00052931" w:rsidRDefault="008D1275" w:rsidP="00E1002C">
      <w:pPr>
        <w:widowControl w:val="0"/>
        <w:overflowPunct w:val="0"/>
        <w:autoSpaceDE w:val="0"/>
        <w:autoSpaceDN w:val="0"/>
        <w:adjustRightInd w:val="0"/>
        <w:spacing w:after="120" w:line="360" w:lineRule="auto"/>
        <w:ind w:left="2840" w:hanging="2835"/>
        <w:rPr>
          <w:rFonts w:ascii="Times New Roman" w:hAnsi="Times New Roman"/>
          <w:sz w:val="24"/>
          <w:szCs w:val="24"/>
        </w:rPr>
      </w:pPr>
      <w:r w:rsidRPr="00052931">
        <w:rPr>
          <w:rFonts w:ascii="Times New Roman" w:hAnsi="Times New Roman"/>
          <w:sz w:val="24"/>
          <w:szCs w:val="24"/>
        </w:rPr>
        <w:t>Čiastková kompetencia 2:    Charakterizovať verejné pois</w:t>
      </w:r>
      <w:r>
        <w:rPr>
          <w:rFonts w:ascii="Times New Roman" w:hAnsi="Times New Roman"/>
          <w:sz w:val="24"/>
          <w:szCs w:val="24"/>
        </w:rPr>
        <w:t xml:space="preserve">tenie a vysvetliť rozdiel medzi </w:t>
      </w:r>
      <w:r w:rsidRPr="00052931">
        <w:rPr>
          <w:rFonts w:ascii="Times New Roman" w:hAnsi="Times New Roman"/>
          <w:sz w:val="24"/>
          <w:szCs w:val="24"/>
        </w:rPr>
        <w:t>verejným a súkromným (komerčným) poistením</w:t>
      </w:r>
    </w:p>
    <w:p w:rsidR="008D1275" w:rsidRPr="00052931" w:rsidRDefault="008D1275" w:rsidP="00E1002C">
      <w:pPr>
        <w:widowControl w:val="0"/>
        <w:autoSpaceDE w:val="0"/>
        <w:autoSpaceDN w:val="0"/>
        <w:adjustRightInd w:val="0"/>
        <w:spacing w:after="120" w:line="360" w:lineRule="auto"/>
        <w:rPr>
          <w:rFonts w:ascii="Times New Roman" w:hAnsi="Times New Roman"/>
          <w:sz w:val="24"/>
          <w:szCs w:val="24"/>
        </w:rPr>
      </w:pPr>
      <w:r w:rsidRPr="00052931">
        <w:rPr>
          <w:rFonts w:ascii="Times New Roman" w:hAnsi="Times New Roman"/>
          <w:sz w:val="24"/>
          <w:szCs w:val="24"/>
        </w:rPr>
        <w:t>Čiastková kompetencia 3:    Charakterizovať komerčné poistenie</w:t>
      </w:r>
    </w:p>
    <w:p w:rsidR="008D1275" w:rsidRDefault="008D1275" w:rsidP="00DD37A7">
      <w:pPr>
        <w:jc w:val="both"/>
        <w:rPr>
          <w:rFonts w:ascii="Times New Roman" w:hAnsi="Times New Roman" w:cs="Times New Roman"/>
          <w:sz w:val="24"/>
          <w:szCs w:val="24"/>
        </w:rPr>
      </w:pPr>
    </w:p>
    <w:p w:rsidR="00192D46" w:rsidRDefault="00192D46" w:rsidP="008D1275">
      <w:pPr>
        <w:jc w:val="both"/>
        <w:rPr>
          <w:rFonts w:ascii="Times New Roman" w:hAnsi="Times New Roman" w:cs="Times New Roman"/>
          <w:sz w:val="24"/>
          <w:szCs w:val="24"/>
          <w:highlight w:val="yellow"/>
        </w:rPr>
      </w:pPr>
    </w:p>
    <w:p w:rsidR="00192D46" w:rsidRDefault="00192D46" w:rsidP="008D1275">
      <w:pPr>
        <w:jc w:val="both"/>
        <w:rPr>
          <w:rFonts w:ascii="Times New Roman" w:hAnsi="Times New Roman" w:cs="Times New Roman"/>
          <w:sz w:val="24"/>
          <w:szCs w:val="24"/>
          <w:highlight w:val="yellow"/>
        </w:rPr>
      </w:pPr>
    </w:p>
    <w:p w:rsidR="00192D46" w:rsidRDefault="00192D46" w:rsidP="008D1275">
      <w:pPr>
        <w:jc w:val="both"/>
        <w:rPr>
          <w:rFonts w:ascii="Times New Roman" w:hAnsi="Times New Roman" w:cs="Times New Roman"/>
          <w:sz w:val="24"/>
          <w:szCs w:val="24"/>
          <w:highlight w:val="yellow"/>
        </w:rPr>
      </w:pPr>
    </w:p>
    <w:p w:rsidR="00192D46" w:rsidRDefault="00192D46" w:rsidP="008D1275">
      <w:pPr>
        <w:jc w:val="both"/>
        <w:rPr>
          <w:rFonts w:ascii="Times New Roman" w:hAnsi="Times New Roman" w:cs="Times New Roman"/>
          <w:sz w:val="24"/>
          <w:szCs w:val="24"/>
          <w:highlight w:val="yellow"/>
        </w:rPr>
      </w:pPr>
    </w:p>
    <w:tbl>
      <w:tblPr>
        <w:tblW w:w="15660" w:type="dxa"/>
        <w:tblCellMar>
          <w:left w:w="70" w:type="dxa"/>
          <w:right w:w="70" w:type="dxa"/>
        </w:tblCellMar>
        <w:tblLook w:val="04A0" w:firstRow="1" w:lastRow="0" w:firstColumn="1" w:lastColumn="0" w:noHBand="0" w:noVBand="1"/>
      </w:tblPr>
      <w:tblGrid>
        <w:gridCol w:w="4200"/>
        <w:gridCol w:w="1250"/>
        <w:gridCol w:w="1160"/>
        <w:gridCol w:w="1020"/>
        <w:gridCol w:w="1020"/>
        <w:gridCol w:w="1020"/>
        <w:gridCol w:w="1020"/>
        <w:gridCol w:w="1020"/>
        <w:gridCol w:w="1020"/>
        <w:gridCol w:w="1020"/>
        <w:gridCol w:w="1020"/>
        <w:gridCol w:w="1020"/>
      </w:tblGrid>
      <w:tr w:rsidR="00192D46" w:rsidRPr="00192D46" w:rsidTr="00192D46">
        <w:trPr>
          <w:trHeight w:val="880"/>
        </w:trPr>
        <w:tc>
          <w:tcPr>
            <w:tcW w:w="4200" w:type="dxa"/>
            <w:tcBorders>
              <w:top w:val="single" w:sz="8" w:space="0" w:color="auto"/>
              <w:left w:val="single" w:sz="8" w:space="0" w:color="auto"/>
              <w:bottom w:val="single" w:sz="8"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sz w:val="24"/>
                <w:szCs w:val="24"/>
                <w:lang w:eastAsia="sk-SK"/>
              </w:rPr>
            </w:pPr>
            <w:r w:rsidRPr="00192D46">
              <w:rPr>
                <w:rFonts w:ascii="Calibri" w:eastAsia="Times New Roman" w:hAnsi="Calibri" w:cs="Calibri"/>
                <w:b/>
                <w:bCs/>
                <w:color w:val="000000"/>
                <w:sz w:val="24"/>
                <w:szCs w:val="24"/>
                <w:lang w:eastAsia="sk-SK"/>
              </w:rPr>
              <w:lastRenderedPageBreak/>
              <w:t>Organizácia / Téma</w:t>
            </w:r>
          </w:p>
        </w:tc>
        <w:tc>
          <w:tcPr>
            <w:tcW w:w="125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Riadenie rizika a poistenie</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Calibri" w:eastAsia="Times New Roman" w:hAnsi="Calibri" w:cs="Calibri"/>
                <w:color w:val="000000"/>
                <w:lang w:eastAsia="sk-SK"/>
              </w:rPr>
            </w:pPr>
            <w:r w:rsidRPr="00192D46">
              <w:rPr>
                <w:rFonts w:ascii="Calibri" w:eastAsia="Times New Roman" w:hAnsi="Calibri" w:cs="Calibri"/>
                <w:noProof/>
                <w:color w:val="000000"/>
                <w:lang w:eastAsia="sk-SK"/>
              </w:rPr>
              <w:drawing>
                <wp:anchor distT="0" distB="0" distL="114300" distR="114300" simplePos="0" relativeHeight="251669504" behindDoc="0" locked="0" layoutInCell="1" allowOverlap="1">
                  <wp:simplePos x="0" y="0"/>
                  <wp:positionH relativeFrom="column">
                    <wp:posOffset>109855</wp:posOffset>
                  </wp:positionH>
                  <wp:positionV relativeFrom="paragraph">
                    <wp:posOffset>-384810</wp:posOffset>
                  </wp:positionV>
                  <wp:extent cx="6230620" cy="6353810"/>
                  <wp:effectExtent l="0" t="0" r="17780" b="8890"/>
                  <wp:wrapNone/>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20"/>
            </w:tblGrid>
            <w:tr w:rsidR="00192D46" w:rsidRPr="00192D46">
              <w:trPr>
                <w:trHeight w:val="880"/>
                <w:tblCellSpacing w:w="0" w:type="dxa"/>
              </w:trPr>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Calibri" w:eastAsia="Times New Roman" w:hAnsi="Calibri" w:cs="Calibri"/>
                      <w:color w:val="000000"/>
                      <w:lang w:eastAsia="sk-SK"/>
                    </w:rPr>
                  </w:pPr>
                </w:p>
              </w:tc>
            </w:tr>
          </w:tbl>
          <w:p w:rsidR="00192D46" w:rsidRPr="00192D46" w:rsidRDefault="00192D46" w:rsidP="00192D46">
            <w:pPr>
              <w:spacing w:after="0" w:line="240" w:lineRule="auto"/>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Nadácia pre deti Slovenska</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44%</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Nadácia Slovenskej sporiteľne</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67%</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Slovenská banková asociácia</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33%</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 xml:space="preserve">OVB </w:t>
            </w:r>
            <w:proofErr w:type="spellStart"/>
            <w:r w:rsidRPr="00192D46">
              <w:rPr>
                <w:rFonts w:ascii="Calibri" w:eastAsia="Times New Roman" w:hAnsi="Calibri" w:cs="Calibri"/>
                <w:b/>
                <w:bCs/>
                <w:color w:val="000000"/>
                <w:lang w:eastAsia="sk-SK"/>
              </w:rPr>
              <w:t>Allfinanz</w:t>
            </w:r>
            <w:proofErr w:type="spellEnd"/>
            <w:r w:rsidRPr="00192D46">
              <w:rPr>
                <w:rFonts w:ascii="Calibri" w:eastAsia="Times New Roman" w:hAnsi="Calibri" w:cs="Calibri"/>
                <w:b/>
                <w:bCs/>
                <w:color w:val="000000"/>
                <w:lang w:eastAsia="sk-SK"/>
              </w:rPr>
              <w:t xml:space="preserve"> Slovensko a. s. </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32306F" w:rsidRDefault="0032306F" w:rsidP="00192D46">
            <w:pPr>
              <w:spacing w:after="0" w:line="240" w:lineRule="auto"/>
              <w:jc w:val="center"/>
              <w:rPr>
                <w:rFonts w:ascii="Calibri" w:eastAsia="Times New Roman" w:hAnsi="Calibri" w:cs="Calibri"/>
                <w:b/>
                <w:color w:val="000000"/>
                <w:lang w:eastAsia="sk-SK"/>
              </w:rPr>
            </w:pPr>
            <w:r w:rsidRPr="0032306F">
              <w:rPr>
                <w:rFonts w:ascii="Calibri" w:eastAsia="Times New Roman" w:hAnsi="Calibri" w:cs="Calibri"/>
                <w:b/>
                <w:color w:val="000000"/>
                <w:lang w:eastAsia="sk-SK"/>
              </w:rPr>
              <w:t>89</w:t>
            </w:r>
            <w:r w:rsidR="00192D46" w:rsidRPr="0032306F">
              <w:rPr>
                <w:rFonts w:ascii="Calibri" w:eastAsia="Times New Roman" w:hAnsi="Calibri" w:cs="Calibri"/>
                <w:b/>
                <w:color w:val="000000"/>
                <w:lang w:eastAsia="sk-SK"/>
              </w:rPr>
              <w:t>%</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roofErr w:type="spellStart"/>
            <w:r w:rsidRPr="00192D46">
              <w:rPr>
                <w:rFonts w:ascii="Calibri" w:eastAsia="Times New Roman" w:hAnsi="Calibri" w:cs="Calibri"/>
                <w:b/>
                <w:bCs/>
                <w:color w:val="000000"/>
                <w:lang w:eastAsia="sk-SK"/>
              </w:rPr>
              <w:t>Minist</w:t>
            </w:r>
            <w:proofErr w:type="spellEnd"/>
            <w:r w:rsidRPr="00192D46">
              <w:rPr>
                <w:rFonts w:ascii="Calibri" w:eastAsia="Times New Roman" w:hAnsi="Calibri" w:cs="Calibri"/>
                <w:b/>
                <w:bCs/>
                <w:color w:val="000000"/>
                <w:lang w:eastAsia="sk-SK"/>
              </w:rPr>
              <w:t>. financií SR.-</w:t>
            </w:r>
            <w:proofErr w:type="spellStart"/>
            <w:r w:rsidRPr="00192D46">
              <w:rPr>
                <w:rFonts w:ascii="Calibri" w:eastAsia="Times New Roman" w:hAnsi="Calibri" w:cs="Calibri"/>
                <w:b/>
                <w:bCs/>
                <w:color w:val="000000"/>
                <w:lang w:eastAsia="sk-SK"/>
              </w:rPr>
              <w:t>Odb.ochrany</w:t>
            </w:r>
            <w:proofErr w:type="spellEnd"/>
            <w:r w:rsidRPr="00192D46">
              <w:rPr>
                <w:rFonts w:ascii="Calibri" w:eastAsia="Times New Roman" w:hAnsi="Calibri" w:cs="Calibri"/>
                <w:b/>
                <w:bCs/>
                <w:color w:val="000000"/>
                <w:lang w:eastAsia="sk-SK"/>
              </w:rPr>
              <w:t xml:space="preserve"> </w:t>
            </w:r>
            <w:proofErr w:type="spellStart"/>
            <w:r w:rsidRPr="00192D46">
              <w:rPr>
                <w:rFonts w:ascii="Calibri" w:eastAsia="Times New Roman" w:hAnsi="Calibri" w:cs="Calibri"/>
                <w:b/>
                <w:bCs/>
                <w:color w:val="000000"/>
                <w:lang w:eastAsia="sk-SK"/>
              </w:rPr>
              <w:t>fin.spotreb</w:t>
            </w:r>
            <w:proofErr w:type="spellEnd"/>
            <w:r w:rsidRPr="00192D46">
              <w:rPr>
                <w:rFonts w:ascii="Calibri" w:eastAsia="Times New Roman" w:hAnsi="Calibri" w:cs="Calibri"/>
                <w:b/>
                <w:bCs/>
                <w:color w:val="000000"/>
                <w:lang w:eastAsia="sk-SK"/>
              </w:rPr>
              <w:t>.</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22%</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NBS-odbor ochrany slovenských spotrebiteľ.</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22%</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Metodicko-pedagogické centrum</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67%</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Finančné riaditeľstvo SR</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3F05F4" w:rsidP="00192D46">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 xml:space="preserve"> </w:t>
            </w:r>
            <w:r w:rsidR="00192D46" w:rsidRPr="00192D46">
              <w:rPr>
                <w:rFonts w:ascii="Calibri" w:eastAsia="Times New Roman" w:hAnsi="Calibri" w:cs="Calibri"/>
                <w:b/>
                <w:bCs/>
                <w:color w:val="000000"/>
                <w:lang w:eastAsia="sk-SK"/>
              </w:rPr>
              <w:t>CKÚ OLAF ÚV SR</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0D0CE7" w:rsidP="00192D46">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noProof/>
                <w:sz w:val="20"/>
                <w:szCs w:val="20"/>
                <w:lang w:eastAsia="sk-SK"/>
              </w:rPr>
              <w:drawing>
                <wp:anchor distT="0" distB="0" distL="114300" distR="114300" simplePos="0" relativeHeight="251670528" behindDoc="0" locked="0" layoutInCell="1" allowOverlap="1">
                  <wp:simplePos x="0" y="0"/>
                  <wp:positionH relativeFrom="column">
                    <wp:posOffset>29845</wp:posOffset>
                  </wp:positionH>
                  <wp:positionV relativeFrom="paragraph">
                    <wp:posOffset>-116840</wp:posOffset>
                  </wp:positionV>
                  <wp:extent cx="313055" cy="207010"/>
                  <wp:effectExtent l="0" t="0" r="0" b="254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5percent_plus.jpg"/>
                          <pic:cNvPicPr/>
                        </pic:nvPicPr>
                        <pic:blipFill>
                          <a:blip r:embed="rId16">
                            <a:extLst>
                              <a:ext uri="{28A0092B-C50C-407E-A947-70E740481C1C}">
                                <a14:useLocalDpi xmlns:a14="http://schemas.microsoft.com/office/drawing/2010/main" val="0"/>
                              </a:ext>
                            </a:extLst>
                          </a:blip>
                          <a:stretch>
                            <a:fillRect/>
                          </a:stretch>
                        </pic:blipFill>
                        <pic:spPr>
                          <a:xfrm>
                            <a:off x="0" y="0"/>
                            <a:ext cx="313055" cy="207010"/>
                          </a:xfrm>
                          <a:prstGeom prst="rect">
                            <a:avLst/>
                          </a:prstGeom>
                        </pic:spPr>
                      </pic:pic>
                    </a:graphicData>
                  </a:graphic>
                  <wp14:sizeRelH relativeFrom="margin">
                    <wp14:pctWidth>0</wp14:pctWidth>
                  </wp14:sizeRelH>
                  <wp14:sizeRelV relativeFrom="margin">
                    <wp14:pctHeight>0</wp14:pctHeight>
                  </wp14:sizeRelV>
                </wp:anchor>
              </w:drawing>
            </w: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Odbor prevencie korupcie ÚV SR</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Štátna školská inšpekcia</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 xml:space="preserve">Ministerstvo hospodárstva SR </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JA Slovensko</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89%</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 xml:space="preserve"> Úrad </w:t>
            </w:r>
            <w:proofErr w:type="spellStart"/>
            <w:r w:rsidRPr="00192D46">
              <w:rPr>
                <w:rFonts w:ascii="Calibri" w:eastAsia="Times New Roman" w:hAnsi="Calibri" w:cs="Calibri"/>
                <w:color w:val="000000"/>
                <w:lang w:eastAsia="sk-SK"/>
              </w:rPr>
              <w:t>splnomoc</w:t>
            </w:r>
            <w:proofErr w:type="spellEnd"/>
            <w:r w:rsidRPr="00192D46">
              <w:rPr>
                <w:rFonts w:ascii="Calibri" w:eastAsia="Times New Roman" w:hAnsi="Calibri" w:cs="Calibri"/>
                <w:color w:val="000000"/>
                <w:lang w:eastAsia="sk-SK"/>
              </w:rPr>
              <w:t xml:space="preserve">. vlády SR pre </w:t>
            </w:r>
            <w:proofErr w:type="spellStart"/>
            <w:r w:rsidRPr="00192D46">
              <w:rPr>
                <w:rFonts w:ascii="Calibri" w:eastAsia="Times New Roman" w:hAnsi="Calibri" w:cs="Calibri"/>
                <w:color w:val="000000"/>
                <w:lang w:eastAsia="sk-SK"/>
              </w:rPr>
              <w:t>róm</w:t>
            </w:r>
            <w:proofErr w:type="spellEnd"/>
            <w:r w:rsidRPr="00192D46">
              <w:rPr>
                <w:rFonts w:ascii="Calibri" w:eastAsia="Times New Roman" w:hAnsi="Calibri" w:cs="Calibri"/>
                <w:color w:val="000000"/>
                <w:lang w:eastAsia="sk-SK"/>
              </w:rPr>
              <w:t>. komunity</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NÚCEM</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0%</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color w:val="000000"/>
                <w:lang w:eastAsia="sk-SK"/>
              </w:rPr>
            </w:pPr>
            <w:r w:rsidRPr="00192D46">
              <w:rPr>
                <w:rFonts w:ascii="Calibri" w:eastAsia="Times New Roman" w:hAnsi="Calibri" w:cs="Calibri"/>
                <w:color w:val="000000"/>
                <w:lang w:eastAsia="sk-SK"/>
              </w:rPr>
              <w:t>SLASPO - Slovenská asociácia poisťovní</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33%</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single" w:sz="4"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ŠIOV - FG a SCCF</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22%</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nil"/>
              <w:left w:val="single" w:sz="8" w:space="0" w:color="auto"/>
              <w:bottom w:val="nil"/>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EUBA - Ekonomická Univerzita</w:t>
            </w:r>
          </w:p>
        </w:tc>
        <w:tc>
          <w:tcPr>
            <w:tcW w:w="1250" w:type="dxa"/>
            <w:tcBorders>
              <w:top w:val="nil"/>
              <w:left w:val="single" w:sz="4" w:space="0" w:color="auto"/>
              <w:bottom w:val="single" w:sz="4"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33%</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379"/>
        </w:trPr>
        <w:tc>
          <w:tcPr>
            <w:tcW w:w="4200" w:type="dxa"/>
            <w:tcBorders>
              <w:top w:val="single" w:sz="4" w:space="0" w:color="auto"/>
              <w:left w:val="single" w:sz="8" w:space="0" w:color="auto"/>
              <w:bottom w:val="single" w:sz="8" w:space="0" w:color="auto"/>
              <w:right w:val="nil"/>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ŠPÚ - Štátny pedagogický ústav</w:t>
            </w:r>
          </w:p>
        </w:tc>
        <w:tc>
          <w:tcPr>
            <w:tcW w:w="1250" w:type="dxa"/>
            <w:tcBorders>
              <w:top w:val="nil"/>
              <w:left w:val="single" w:sz="4" w:space="0" w:color="auto"/>
              <w:bottom w:val="single" w:sz="8" w:space="0" w:color="auto"/>
              <w:right w:val="single" w:sz="8" w:space="0" w:color="auto"/>
            </w:tcBorders>
            <w:shd w:val="clear" w:color="auto" w:fill="auto"/>
            <w:noWrap/>
            <w:vAlign w:val="center"/>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r w:rsidRPr="00192D46">
              <w:rPr>
                <w:rFonts w:ascii="Calibri" w:eastAsia="Times New Roman" w:hAnsi="Calibri" w:cs="Calibri"/>
                <w:b/>
                <w:bCs/>
                <w:color w:val="000000"/>
                <w:lang w:eastAsia="sk-SK"/>
              </w:rPr>
              <w:t>67%</w:t>
            </w: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jc w:val="center"/>
              <w:rPr>
                <w:rFonts w:ascii="Calibri" w:eastAsia="Times New Roman" w:hAnsi="Calibri" w:cs="Calibri"/>
                <w:b/>
                <w:bCs/>
                <w:color w:val="00000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r w:rsidR="00192D46" w:rsidRPr="00192D46" w:rsidTr="00192D46">
        <w:trPr>
          <w:trHeight w:val="117"/>
        </w:trPr>
        <w:tc>
          <w:tcPr>
            <w:tcW w:w="420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25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3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c>
          <w:tcPr>
            <w:tcW w:w="1020" w:type="dxa"/>
            <w:tcBorders>
              <w:top w:val="nil"/>
              <w:left w:val="nil"/>
              <w:bottom w:val="nil"/>
              <w:right w:val="nil"/>
            </w:tcBorders>
            <w:shd w:val="clear" w:color="auto" w:fill="auto"/>
            <w:noWrap/>
            <w:vAlign w:val="bottom"/>
            <w:hideMark/>
          </w:tcPr>
          <w:p w:rsidR="00192D46" w:rsidRPr="00192D46" w:rsidRDefault="00192D46" w:rsidP="00192D46">
            <w:pPr>
              <w:spacing w:after="0" w:line="240" w:lineRule="auto"/>
              <w:rPr>
                <w:rFonts w:ascii="Times New Roman" w:eastAsia="Times New Roman" w:hAnsi="Times New Roman" w:cs="Times New Roman"/>
                <w:sz w:val="20"/>
                <w:szCs w:val="20"/>
                <w:lang w:eastAsia="sk-SK"/>
              </w:rPr>
            </w:pPr>
          </w:p>
        </w:tc>
      </w:tr>
    </w:tbl>
    <w:p w:rsidR="00F5645F" w:rsidRPr="00CF05B2" w:rsidRDefault="00F5645F" w:rsidP="0009411B">
      <w:pPr>
        <w:spacing w:after="120" w:line="360" w:lineRule="auto"/>
        <w:jc w:val="both"/>
        <w:rPr>
          <w:rFonts w:ascii="Times New Roman" w:hAnsi="Times New Roman" w:cs="Times New Roman"/>
          <w:sz w:val="24"/>
          <w:szCs w:val="24"/>
        </w:rPr>
      </w:pPr>
      <w:r>
        <w:rPr>
          <w:rFonts w:ascii="Times New Roman" w:hAnsi="Times New Roman"/>
          <w:sz w:val="24"/>
          <w:szCs w:val="24"/>
        </w:rPr>
        <w:lastRenderedPageBreak/>
        <w:t xml:space="preserve">Šiestej </w:t>
      </w:r>
      <w:r>
        <w:rPr>
          <w:rFonts w:ascii="Times New Roman" w:hAnsi="Times New Roman" w:cs="Times New Roman"/>
          <w:sz w:val="24"/>
          <w:szCs w:val="24"/>
        </w:rPr>
        <w:t xml:space="preserve">téme a jej trom čiastkovým kompetenciám </w:t>
      </w:r>
      <w:r w:rsidR="00DA5EFE" w:rsidRPr="00F03490">
        <w:rPr>
          <w:rFonts w:ascii="Times New Roman" w:hAnsi="Times New Roman" w:cs="Times New Roman"/>
          <w:sz w:val="24"/>
          <w:szCs w:val="24"/>
        </w:rPr>
        <w:t>sa</w:t>
      </w:r>
      <w:r>
        <w:rPr>
          <w:rFonts w:ascii="Times New Roman" w:hAnsi="Times New Roman" w:cs="Times New Roman"/>
          <w:sz w:val="24"/>
          <w:szCs w:val="24"/>
        </w:rPr>
        <w:t xml:space="preserve"> venuje na 89 % </w:t>
      </w:r>
      <w:r>
        <w:rPr>
          <w:rFonts w:ascii="Times New Roman" w:hAnsi="Times New Roman" w:cs="Times New Roman"/>
          <w:b/>
          <w:sz w:val="24"/>
          <w:szCs w:val="24"/>
        </w:rPr>
        <w:t>JA SR</w:t>
      </w:r>
      <w:r w:rsidR="003E1C31">
        <w:rPr>
          <w:rFonts w:ascii="Times New Roman" w:hAnsi="Times New Roman" w:cs="Times New Roman"/>
          <w:b/>
          <w:sz w:val="24"/>
          <w:szCs w:val="24"/>
        </w:rPr>
        <w:t xml:space="preserve"> a</w:t>
      </w:r>
      <w:r w:rsidR="009052F3">
        <w:rPr>
          <w:rFonts w:ascii="Times New Roman" w:hAnsi="Times New Roman" w:cs="Times New Roman"/>
          <w:b/>
          <w:sz w:val="24"/>
          <w:szCs w:val="24"/>
        </w:rPr>
        <w:t> </w:t>
      </w:r>
      <w:r w:rsidR="003E1C31">
        <w:rPr>
          <w:rFonts w:ascii="Times New Roman" w:hAnsi="Times New Roman" w:cs="Times New Roman"/>
          <w:b/>
          <w:sz w:val="24"/>
          <w:szCs w:val="24"/>
        </w:rPr>
        <w:t>OVB</w:t>
      </w:r>
      <w:r w:rsidR="009052F3">
        <w:rPr>
          <w:rFonts w:ascii="Times New Roman" w:hAnsi="Times New Roman" w:cs="Times New Roman"/>
          <w:b/>
          <w:sz w:val="24"/>
          <w:szCs w:val="24"/>
        </w:rPr>
        <w:t xml:space="preserve">. </w:t>
      </w:r>
      <w:r w:rsidRPr="00CF05B2">
        <w:rPr>
          <w:rFonts w:ascii="Times New Roman" w:hAnsi="Times New Roman" w:cs="Times New Roman"/>
          <w:sz w:val="24"/>
          <w:szCs w:val="24"/>
        </w:rPr>
        <w:t xml:space="preserve"> </w:t>
      </w:r>
      <w:r w:rsidR="009052F3">
        <w:rPr>
          <w:rFonts w:ascii="Times New Roman" w:hAnsi="Times New Roman" w:cs="Times New Roman"/>
          <w:sz w:val="24"/>
          <w:szCs w:val="24"/>
        </w:rPr>
        <w:t>V</w:t>
      </w:r>
      <w:bookmarkStart w:id="2" w:name="_GoBack"/>
      <w:bookmarkEnd w:id="2"/>
      <w:r w:rsidRPr="00CF05B2">
        <w:rPr>
          <w:rFonts w:ascii="Times New Roman" w:hAnsi="Times New Roman" w:cs="Times New Roman"/>
          <w:sz w:val="24"/>
          <w:szCs w:val="24"/>
        </w:rPr>
        <w:t xml:space="preserve"> rámci </w:t>
      </w:r>
      <w:r>
        <w:rPr>
          <w:rFonts w:ascii="Times New Roman" w:hAnsi="Times New Roman" w:cs="Times New Roman"/>
          <w:sz w:val="24"/>
          <w:szCs w:val="24"/>
        </w:rPr>
        <w:t>tretej</w:t>
      </w:r>
      <w:r w:rsidRPr="00CF05B2">
        <w:rPr>
          <w:rFonts w:ascii="Times New Roman" w:hAnsi="Times New Roman" w:cs="Times New Roman"/>
          <w:sz w:val="24"/>
          <w:szCs w:val="24"/>
        </w:rPr>
        <w:t xml:space="preserve"> čiastkovej kompetencie nezaoberajú prvou úrovňou.</w:t>
      </w:r>
      <w:r>
        <w:rPr>
          <w:rFonts w:ascii="Times New Roman" w:hAnsi="Times New Roman" w:cs="Times New Roman"/>
          <w:sz w:val="24"/>
          <w:szCs w:val="24"/>
        </w:rPr>
        <w:t xml:space="preserve"> </w:t>
      </w:r>
    </w:p>
    <w:p w:rsidR="00F5645F" w:rsidRPr="00F5645F" w:rsidRDefault="00F5645F" w:rsidP="0009411B">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ŠPÚ, MPC a Nadácia SĽSP</w:t>
      </w:r>
      <w:r w:rsidRPr="00F5645F">
        <w:rPr>
          <w:rFonts w:ascii="Times New Roman" w:hAnsi="Times New Roman" w:cs="Times New Roman"/>
          <w:b/>
          <w:sz w:val="24"/>
          <w:szCs w:val="24"/>
        </w:rPr>
        <w:t xml:space="preserve"> </w:t>
      </w:r>
      <w:r>
        <w:rPr>
          <w:rFonts w:ascii="Times New Roman" w:hAnsi="Times New Roman" w:cs="Times New Roman"/>
          <w:sz w:val="24"/>
          <w:szCs w:val="24"/>
        </w:rPr>
        <w:t xml:space="preserve">sa šiestej </w:t>
      </w:r>
      <w:r w:rsidRPr="00243CA9">
        <w:rPr>
          <w:rFonts w:ascii="Times New Roman" w:hAnsi="Times New Roman" w:cs="Times New Roman"/>
          <w:sz w:val="24"/>
          <w:szCs w:val="24"/>
        </w:rPr>
        <w:t>téme</w:t>
      </w:r>
      <w:r>
        <w:rPr>
          <w:rFonts w:ascii="Times New Roman" w:hAnsi="Times New Roman" w:cs="Times New Roman"/>
          <w:sz w:val="24"/>
          <w:szCs w:val="24"/>
        </w:rPr>
        <w:t xml:space="preserve"> </w:t>
      </w:r>
      <w:r w:rsidRPr="00243CA9">
        <w:rPr>
          <w:rFonts w:ascii="Times New Roman" w:hAnsi="Times New Roman" w:cs="Times New Roman"/>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 xml:space="preserve">jej čiastkovým kompetenciám venujú každá na 67 %.  </w:t>
      </w:r>
      <w:r w:rsidRPr="00534557">
        <w:rPr>
          <w:rFonts w:ascii="Times New Roman" w:hAnsi="Times New Roman" w:cs="Times New Roman"/>
          <w:b/>
          <w:sz w:val="24"/>
          <w:szCs w:val="24"/>
        </w:rPr>
        <w:t>ŠPÚ</w:t>
      </w:r>
      <w:r>
        <w:rPr>
          <w:rFonts w:ascii="Times New Roman" w:hAnsi="Times New Roman" w:cs="Times New Roman"/>
          <w:sz w:val="24"/>
          <w:szCs w:val="24"/>
        </w:rPr>
        <w:t xml:space="preserve"> sa venuje čiastkovým kompetenciám v rámci prvej a druhej úrovne, teda základnej škole ako takej. </w:t>
      </w:r>
      <w:r w:rsidRPr="00534557">
        <w:rPr>
          <w:rFonts w:ascii="Times New Roman" w:hAnsi="Times New Roman" w:cs="Times New Roman"/>
          <w:b/>
          <w:sz w:val="24"/>
          <w:szCs w:val="24"/>
        </w:rPr>
        <w:t>MPC</w:t>
      </w:r>
      <w:r>
        <w:rPr>
          <w:rFonts w:ascii="Times New Roman" w:hAnsi="Times New Roman" w:cs="Times New Roman"/>
          <w:sz w:val="24"/>
          <w:szCs w:val="24"/>
        </w:rPr>
        <w:t xml:space="preserve"> a </w:t>
      </w:r>
      <w:r w:rsidRPr="00F5645F">
        <w:rPr>
          <w:rFonts w:ascii="Times New Roman" w:hAnsi="Times New Roman" w:cs="Times New Roman"/>
          <w:b/>
          <w:sz w:val="24"/>
          <w:szCs w:val="24"/>
        </w:rPr>
        <w:t xml:space="preserve">OVB </w:t>
      </w:r>
      <w:r>
        <w:rPr>
          <w:rFonts w:ascii="Times New Roman" w:hAnsi="Times New Roman" w:cs="Times New Roman"/>
          <w:b/>
          <w:sz w:val="24"/>
          <w:szCs w:val="24"/>
        </w:rPr>
        <w:t>Nadácia SĽSP</w:t>
      </w:r>
      <w:r w:rsidRPr="00F5645F">
        <w:rPr>
          <w:rFonts w:ascii="Times New Roman" w:hAnsi="Times New Roman" w:cs="Times New Roman"/>
          <w:b/>
          <w:sz w:val="24"/>
          <w:szCs w:val="24"/>
        </w:rPr>
        <w:t xml:space="preserve"> </w:t>
      </w:r>
      <w:r>
        <w:rPr>
          <w:rFonts w:ascii="Times New Roman" w:hAnsi="Times New Roman" w:cs="Times New Roman"/>
          <w:sz w:val="24"/>
          <w:szCs w:val="24"/>
        </w:rPr>
        <w:t xml:space="preserve">sa </w:t>
      </w:r>
      <w:r w:rsidR="0009411B">
        <w:rPr>
          <w:rFonts w:ascii="Times New Roman" w:hAnsi="Times New Roman" w:cs="Times New Roman"/>
          <w:sz w:val="24"/>
          <w:szCs w:val="24"/>
        </w:rPr>
        <w:t xml:space="preserve">tak ako v predchádzajúcich témach, nevenuje prvej úrovni, teda prvému stupňu základnej školy. </w:t>
      </w:r>
    </w:p>
    <w:p w:rsidR="008D1275" w:rsidRDefault="008D1275" w:rsidP="00DD37A7">
      <w:pPr>
        <w:jc w:val="both"/>
        <w:rPr>
          <w:rFonts w:ascii="Times New Roman" w:hAnsi="Times New Roman" w:cs="Times New Roman"/>
          <w:sz w:val="24"/>
          <w:szCs w:val="24"/>
        </w:rPr>
      </w:pPr>
    </w:p>
    <w:p w:rsidR="008D1275" w:rsidRDefault="00E469DC" w:rsidP="008D1275">
      <w:pPr>
        <w:jc w:val="both"/>
        <w:rPr>
          <w:rFonts w:ascii="Cambria" w:hAnsi="Cambria" w:cs="Cambria"/>
          <w:b/>
          <w:bCs/>
          <w:color w:val="2F5496" w:themeColor="accent5" w:themeShade="BF"/>
          <w:sz w:val="28"/>
          <w:szCs w:val="28"/>
        </w:rPr>
      </w:pPr>
      <w:r>
        <w:rPr>
          <w:rFonts w:ascii="Cambria" w:hAnsi="Cambria" w:cs="Cambria"/>
          <w:b/>
          <w:bCs/>
          <w:color w:val="2F5496" w:themeColor="accent5" w:themeShade="BF"/>
          <w:sz w:val="28"/>
          <w:szCs w:val="28"/>
        </w:rPr>
        <w:t>Záver</w:t>
      </w:r>
    </w:p>
    <w:p w:rsidR="00E1002C" w:rsidRDefault="000448BF" w:rsidP="000448BF">
      <w:pPr>
        <w:spacing w:after="120" w:line="360" w:lineRule="auto"/>
        <w:jc w:val="both"/>
        <w:rPr>
          <w:rFonts w:ascii="Times New Roman" w:hAnsi="Times New Roman" w:cs="Times New Roman"/>
          <w:sz w:val="24"/>
          <w:szCs w:val="24"/>
        </w:rPr>
      </w:pPr>
      <w:r w:rsidRPr="000448BF">
        <w:rPr>
          <w:rFonts w:ascii="Times New Roman" w:hAnsi="Times New Roman" w:cs="Times New Roman"/>
          <w:sz w:val="24"/>
          <w:szCs w:val="24"/>
        </w:rPr>
        <w:t xml:space="preserve">Finančná gramotnosť, ako jedna z voliteľných oblastí, bola do štúdie PISA prvýkrát zaradená v rámci cyklu PISA 2012. Odvtedy bola súčasťou každého z nasledujúcich cyklov štúdie PISA. Slovenská republika sa zaradila medzi krajiny, ktoré do svojho testovania zaradili okrem troch primárnych oblastí aj finančnú gramotnosť v cykloch PISA 2012, PISA 2015 a rovnako aj cykle PISA 2018. </w:t>
      </w:r>
    </w:p>
    <w:p w:rsidR="000448BF" w:rsidRPr="000448BF" w:rsidRDefault="000448BF" w:rsidP="000448BF">
      <w:pPr>
        <w:spacing w:after="120" w:line="360" w:lineRule="auto"/>
        <w:jc w:val="both"/>
        <w:rPr>
          <w:rFonts w:ascii="Times New Roman" w:hAnsi="Times New Roman" w:cs="Times New Roman"/>
          <w:color w:val="212121"/>
          <w:sz w:val="24"/>
          <w:szCs w:val="24"/>
        </w:rPr>
      </w:pPr>
      <w:r w:rsidRPr="000448BF">
        <w:rPr>
          <w:rFonts w:ascii="Times New Roman" w:hAnsi="Times New Roman" w:cs="Times New Roman"/>
          <w:sz w:val="24"/>
          <w:szCs w:val="24"/>
        </w:rPr>
        <w:t>Snaha začať s monitorovaním stavu finančnej gramotnosti 15-ročných žiakov bola motivovaná predovšetkým aktuálnou situáciou, v ktorej sa spoločnosť nachádza. Rozširuje sa ponuka finančných produktov, ktoré sú ľahko dostupné všetkým. Žijeme v dobe, kedy nie je nevyhnutné chodiť osobne do banky vždy, keď chceme vložiť, vybrať alebo „previesť“ peniaze. K ponukám rôznych finančných produktov sa dostaneme priamo telefonicky, bez toho, aby sme sami vyvinuli čo i len minimálne úsilie. Máme možnosť investovať, chceme si zabezpečiť čo najväčší životný komfort. Každodenne sme vystavení reklamám a rôznym obchodným stratégiám ako predať čo najviac bez toho, aby sme si to vôbec uvedomovali. Vek odchodu do dôchodku sa predlžuje, ľudia žijú dlhšie, klesá natalita, do popredia sa dostáva zabezpečenie finančných prostriedkov v dôchodkovom veku. Stále viac sa hovorí o potrebe dlhodobého finančného plánovania. Príprava finančne gramotného občana začína už v domácom prostredí, kedy dieťa pozoruje finančné rozhodnutia svojich rodinných príslušníkov a pokračuje v škole, kde by svoje zručnosti v tejto oblasti malo systematicky rozvíjať. Samozrejme, rozvíjanie finančnej gramotnosti nie je možné bez toho, aby žiaci zvládli čitateľskú, rovnako aj matematickú gramotnosť minimálne na základnej úrovni.</w:t>
      </w:r>
      <w:r>
        <w:rPr>
          <w:rStyle w:val="Odkaznapoznmkupodiarou"/>
          <w:rFonts w:ascii="Times New Roman" w:hAnsi="Times New Roman" w:cs="Times New Roman"/>
          <w:color w:val="212121"/>
          <w:sz w:val="24"/>
          <w:szCs w:val="24"/>
        </w:rPr>
        <w:footnoteReference w:id="1"/>
      </w:r>
    </w:p>
    <w:p w:rsidR="0068292D" w:rsidRPr="00F22C41" w:rsidRDefault="0068292D" w:rsidP="00F22C41">
      <w:pPr>
        <w:pStyle w:val="Default"/>
        <w:spacing w:after="120" w:line="360" w:lineRule="auto"/>
        <w:jc w:val="both"/>
        <w:rPr>
          <w:rFonts w:ascii="Times New Roman" w:hAnsi="Times New Roman" w:cs="Times New Roman"/>
        </w:rPr>
      </w:pPr>
      <w:r w:rsidRPr="00F22C41">
        <w:rPr>
          <w:rFonts w:ascii="Times New Roman" w:hAnsi="Times New Roman" w:cs="Times New Roman"/>
        </w:rPr>
        <w:lastRenderedPageBreak/>
        <w:t xml:space="preserve">V treťom cykle štúdie sa do </w:t>
      </w:r>
      <w:r w:rsidRPr="00F22C41">
        <w:rPr>
          <w:rFonts w:ascii="Times New Roman" w:hAnsi="Times New Roman" w:cs="Times New Roman"/>
          <w:b/>
          <w:bCs/>
        </w:rPr>
        <w:t xml:space="preserve">rizikovej skupiny </w:t>
      </w:r>
      <w:r w:rsidRPr="00F22C41">
        <w:rPr>
          <w:rFonts w:ascii="Times New Roman" w:hAnsi="Times New Roman" w:cs="Times New Roman"/>
        </w:rPr>
        <w:t xml:space="preserve">zaradilo </w:t>
      </w:r>
      <w:r w:rsidRPr="00F22C41">
        <w:rPr>
          <w:rFonts w:ascii="Times New Roman" w:hAnsi="Times New Roman" w:cs="Times New Roman"/>
          <w:b/>
          <w:bCs/>
        </w:rPr>
        <w:t>21,2 % slovenských žiakov</w:t>
      </w:r>
      <w:r w:rsidRPr="00F22C41">
        <w:rPr>
          <w:rFonts w:ascii="Times New Roman" w:hAnsi="Times New Roman" w:cs="Times New Roman"/>
        </w:rPr>
        <w:t>, pričom v priemere krajín OECD túto skupinu tvorí 14,7 % žiakov. Žiaci patriaci do rizikovej skupiny nie sú schopní v základných súvislostiach riešiť a aplikovať v praxi otázky a problémy týkajúce sa financií...</w:t>
      </w:r>
    </w:p>
    <w:p w:rsidR="0068292D" w:rsidRPr="00F22C41" w:rsidRDefault="0068292D" w:rsidP="00F22C41">
      <w:pPr>
        <w:pStyle w:val="Default"/>
        <w:spacing w:after="120" w:line="360" w:lineRule="auto"/>
        <w:jc w:val="both"/>
        <w:rPr>
          <w:rFonts w:ascii="Times New Roman" w:hAnsi="Times New Roman" w:cs="Times New Roman"/>
        </w:rPr>
      </w:pPr>
      <w:r w:rsidRPr="00F22C41">
        <w:rPr>
          <w:rFonts w:ascii="Times New Roman" w:hAnsi="Times New Roman" w:cs="Times New Roman"/>
        </w:rPr>
        <w:t xml:space="preserve">Znamená to, že </w:t>
      </w:r>
      <w:r w:rsidRPr="00F22C41">
        <w:rPr>
          <w:rFonts w:ascii="Times New Roman" w:hAnsi="Times New Roman" w:cs="Times New Roman"/>
          <w:b/>
          <w:bCs/>
        </w:rPr>
        <w:t>percentuálny podiel žiakov, ktorí sa v roku 2018 zaradili svojim výkonom do rizikovej skupiny, je porovnateľný s rokom 2012</w:t>
      </w:r>
      <w:r w:rsidRPr="00F22C41">
        <w:rPr>
          <w:rFonts w:ascii="Times New Roman" w:hAnsi="Times New Roman" w:cs="Times New Roman"/>
        </w:rPr>
        <w:t>...</w:t>
      </w:r>
    </w:p>
    <w:p w:rsidR="0068292D" w:rsidRPr="00F22C41" w:rsidRDefault="0068292D" w:rsidP="00F22C41">
      <w:pPr>
        <w:pStyle w:val="Default"/>
        <w:spacing w:after="120" w:line="360" w:lineRule="auto"/>
        <w:jc w:val="both"/>
        <w:rPr>
          <w:rFonts w:ascii="Times New Roman" w:hAnsi="Times New Roman" w:cs="Times New Roman"/>
        </w:rPr>
      </w:pPr>
      <w:r w:rsidRPr="00F22C41">
        <w:rPr>
          <w:rFonts w:ascii="Times New Roman" w:hAnsi="Times New Roman" w:cs="Times New Roman"/>
        </w:rPr>
        <w:t xml:space="preserve">Na opačnej strane výkonového spektra môžeme voči cyklom 2015 a 2012 pozorovať v PISA 2018 </w:t>
      </w:r>
      <w:r w:rsidRPr="00F22C41">
        <w:rPr>
          <w:rFonts w:ascii="Times New Roman" w:hAnsi="Times New Roman" w:cs="Times New Roman"/>
          <w:b/>
          <w:bCs/>
        </w:rPr>
        <w:t xml:space="preserve">porovnateľné percentuálne zastúpenie </w:t>
      </w:r>
      <w:r w:rsidRPr="00F22C41">
        <w:rPr>
          <w:rFonts w:ascii="Times New Roman" w:hAnsi="Times New Roman" w:cs="Times New Roman"/>
        </w:rPr>
        <w:t xml:space="preserve">našich 15-ročných žiakov v tzv. </w:t>
      </w:r>
      <w:r w:rsidRPr="00F22C41">
        <w:rPr>
          <w:rFonts w:ascii="Times New Roman" w:hAnsi="Times New Roman" w:cs="Times New Roman"/>
          <w:b/>
          <w:bCs/>
        </w:rPr>
        <w:t xml:space="preserve">top úrovni </w:t>
      </w:r>
      <w:r w:rsidRPr="00F22C41">
        <w:rPr>
          <w:rFonts w:ascii="Times New Roman" w:hAnsi="Times New Roman" w:cs="Times New Roman"/>
        </w:rPr>
        <w:t xml:space="preserve">dosahujúce </w:t>
      </w:r>
      <w:r w:rsidRPr="00F22C41">
        <w:rPr>
          <w:rFonts w:ascii="Times New Roman" w:hAnsi="Times New Roman" w:cs="Times New Roman"/>
          <w:b/>
          <w:bCs/>
        </w:rPr>
        <w:t>7,2 % žiakov</w:t>
      </w:r>
      <w:r w:rsidRPr="00F22C41">
        <w:rPr>
          <w:rFonts w:ascii="Times New Roman" w:hAnsi="Times New Roman" w:cs="Times New Roman"/>
        </w:rPr>
        <w:t xml:space="preserve">. Je žiaduce, aby výsledkom vzdelávania bol čo možno najvyšší podiel práve takýchto najúspešnejších žiakov. </w:t>
      </w:r>
      <w:r w:rsidRPr="00F22C41">
        <w:rPr>
          <w:rFonts w:ascii="Times New Roman" w:hAnsi="Times New Roman" w:cs="Times New Roman"/>
          <w:b/>
          <w:bCs/>
        </w:rPr>
        <w:t xml:space="preserve">Percentuálny podiel žiakov v top skupine, </w:t>
      </w:r>
      <w:r w:rsidRPr="00F22C41">
        <w:rPr>
          <w:rFonts w:ascii="Times New Roman" w:hAnsi="Times New Roman" w:cs="Times New Roman"/>
        </w:rPr>
        <w:t>teda najvyššej výkonovej skupine</w:t>
      </w:r>
      <w:r w:rsidRPr="00F22C41">
        <w:rPr>
          <w:rFonts w:ascii="Times New Roman" w:hAnsi="Times New Roman" w:cs="Times New Roman"/>
          <w:b/>
          <w:bCs/>
        </w:rPr>
        <w:t xml:space="preserve">, </w:t>
      </w:r>
      <w:r w:rsidRPr="00F22C41">
        <w:rPr>
          <w:rFonts w:ascii="Times New Roman" w:hAnsi="Times New Roman" w:cs="Times New Roman"/>
        </w:rPr>
        <w:t xml:space="preserve">je </w:t>
      </w:r>
      <w:r w:rsidRPr="00F22C41">
        <w:rPr>
          <w:rFonts w:ascii="Times New Roman" w:hAnsi="Times New Roman" w:cs="Times New Roman"/>
          <w:b/>
          <w:bCs/>
        </w:rPr>
        <w:t xml:space="preserve">na Slovensku </w:t>
      </w:r>
      <w:r w:rsidRPr="00F22C41">
        <w:rPr>
          <w:rFonts w:ascii="Times New Roman" w:hAnsi="Times New Roman" w:cs="Times New Roman"/>
        </w:rPr>
        <w:t xml:space="preserve">oproti priemeru krajín OECD (10,5 %) vo finančnej gramotnosti </w:t>
      </w:r>
      <w:r w:rsidRPr="00F22C41">
        <w:rPr>
          <w:rFonts w:ascii="Times New Roman" w:hAnsi="Times New Roman" w:cs="Times New Roman"/>
          <w:b/>
          <w:bCs/>
        </w:rPr>
        <w:t>signifikantne nižší</w:t>
      </w:r>
      <w:r w:rsidRPr="00F22C41">
        <w:rPr>
          <w:rFonts w:ascii="Times New Roman" w:hAnsi="Times New Roman" w:cs="Times New Roman"/>
        </w:rPr>
        <w:t>...</w:t>
      </w:r>
    </w:p>
    <w:p w:rsidR="00607293" w:rsidRPr="00F22C41" w:rsidRDefault="0068292D" w:rsidP="00F22C41">
      <w:pPr>
        <w:spacing w:after="120" w:line="360" w:lineRule="auto"/>
        <w:jc w:val="both"/>
        <w:rPr>
          <w:rFonts w:ascii="Times New Roman" w:hAnsi="Times New Roman" w:cs="Times New Roman"/>
          <w:sz w:val="24"/>
          <w:szCs w:val="24"/>
        </w:rPr>
      </w:pPr>
      <w:r w:rsidRPr="00F22C41">
        <w:rPr>
          <w:rFonts w:ascii="Times New Roman" w:hAnsi="Times New Roman" w:cs="Times New Roman"/>
          <w:sz w:val="24"/>
          <w:szCs w:val="24"/>
        </w:rPr>
        <w:t xml:space="preserve">Slovenská republika otestovala finančnú gramotnosť 15-ročných žiakov </w:t>
      </w:r>
      <w:r w:rsidRPr="00F22C41">
        <w:rPr>
          <w:rFonts w:ascii="Times New Roman" w:hAnsi="Times New Roman" w:cs="Times New Roman"/>
          <w:b/>
          <w:bCs/>
          <w:sz w:val="24"/>
          <w:szCs w:val="24"/>
        </w:rPr>
        <w:t>na vybranej vzorke</w:t>
      </w:r>
      <w:r w:rsidRPr="0068292D">
        <w:rPr>
          <w:rFonts w:ascii="Times New Roman" w:hAnsi="Times New Roman" w:cs="Times New Roman"/>
          <w:b/>
          <w:bCs/>
          <w:sz w:val="24"/>
          <w:szCs w:val="24"/>
        </w:rPr>
        <w:t xml:space="preserve"> 3 400 žiakov </w:t>
      </w:r>
      <w:r w:rsidRPr="0068292D">
        <w:rPr>
          <w:rFonts w:ascii="Times New Roman" w:hAnsi="Times New Roman" w:cs="Times New Roman"/>
          <w:sz w:val="24"/>
          <w:szCs w:val="24"/>
        </w:rPr>
        <w:t xml:space="preserve">všetkých typov škôl zapojených do štúdie PISA 2018. Testovanie finančnej gramotnosti PISA realizoval Národný ústav certifikovaných meraní vzdelávania (NÚCEM) v dňoch </w:t>
      </w:r>
      <w:r w:rsidRPr="0068292D">
        <w:rPr>
          <w:rFonts w:ascii="Times New Roman" w:hAnsi="Times New Roman" w:cs="Times New Roman"/>
          <w:b/>
          <w:bCs/>
          <w:sz w:val="24"/>
          <w:szCs w:val="24"/>
        </w:rPr>
        <w:t xml:space="preserve">16. - 27. apríla 2018 </w:t>
      </w:r>
      <w:r w:rsidRPr="0068292D">
        <w:rPr>
          <w:rFonts w:ascii="Times New Roman" w:hAnsi="Times New Roman" w:cs="Times New Roman"/>
          <w:sz w:val="24"/>
          <w:szCs w:val="24"/>
        </w:rPr>
        <w:t xml:space="preserve">na vzorke </w:t>
      </w:r>
      <w:r w:rsidRPr="0068292D">
        <w:rPr>
          <w:rFonts w:ascii="Times New Roman" w:hAnsi="Times New Roman" w:cs="Times New Roman"/>
          <w:b/>
          <w:bCs/>
          <w:sz w:val="24"/>
          <w:szCs w:val="24"/>
        </w:rPr>
        <w:t>357 slovenských škôl</w:t>
      </w:r>
      <w:r w:rsidRPr="0068292D">
        <w:rPr>
          <w:rFonts w:ascii="Times New Roman" w:hAnsi="Times New Roman" w:cs="Times New Roman"/>
          <w:sz w:val="24"/>
          <w:szCs w:val="24"/>
        </w:rPr>
        <w:t>.</w:t>
      </w:r>
      <w:r>
        <w:rPr>
          <w:rStyle w:val="Odkaznapoznmkupodiarou"/>
          <w:rFonts w:ascii="Times New Roman" w:hAnsi="Times New Roman" w:cs="Times New Roman"/>
          <w:sz w:val="24"/>
          <w:szCs w:val="24"/>
        </w:rPr>
        <w:footnoteReference w:id="2"/>
      </w:r>
    </w:p>
    <w:p w:rsidR="00F22C41" w:rsidRDefault="00F22C41" w:rsidP="00F22C41">
      <w:pPr>
        <w:pStyle w:val="Default"/>
        <w:spacing w:after="120" w:line="360" w:lineRule="auto"/>
        <w:jc w:val="both"/>
        <w:rPr>
          <w:rFonts w:ascii="Times New Roman" w:hAnsi="Times New Roman" w:cs="Times New Roman"/>
          <w:color w:val="auto"/>
        </w:rPr>
      </w:pPr>
      <w:r w:rsidRPr="00F22C41">
        <w:rPr>
          <w:rFonts w:ascii="Times New Roman" w:hAnsi="Times New Roman" w:cs="Times New Roman"/>
          <w:color w:val="auto"/>
        </w:rPr>
        <w:t>V</w:t>
      </w:r>
      <w:r>
        <w:rPr>
          <w:rFonts w:ascii="Times New Roman" w:hAnsi="Times New Roman" w:cs="Times New Roman"/>
          <w:color w:val="auto"/>
        </w:rPr>
        <w:t xml:space="preserve"> </w:t>
      </w:r>
      <w:r w:rsidRPr="00F22C41">
        <w:rPr>
          <w:rFonts w:ascii="Times New Roman" w:hAnsi="Times New Roman" w:cs="Times New Roman"/>
          <w:color w:val="auto"/>
        </w:rPr>
        <w:t>rámci slovenského vzdelávacieho systému je tiež dôležité vedieť, aké je percentuálne zastúpenie žiakov</w:t>
      </w:r>
      <w:r>
        <w:rPr>
          <w:rFonts w:ascii="Times New Roman" w:hAnsi="Times New Roman" w:cs="Times New Roman"/>
          <w:color w:val="auto"/>
        </w:rPr>
        <w:t xml:space="preserve"> </w:t>
      </w:r>
      <w:r w:rsidRPr="00F22C41">
        <w:rPr>
          <w:rFonts w:ascii="Times New Roman" w:hAnsi="Times New Roman" w:cs="Times New Roman"/>
          <w:color w:val="auto"/>
        </w:rPr>
        <w:t>v</w:t>
      </w:r>
      <w:r>
        <w:rPr>
          <w:rFonts w:ascii="Times New Roman" w:hAnsi="Times New Roman" w:cs="Times New Roman"/>
          <w:color w:val="auto"/>
        </w:rPr>
        <w:t> </w:t>
      </w:r>
      <w:r w:rsidRPr="00F22C41">
        <w:rPr>
          <w:rFonts w:ascii="Times New Roman" w:hAnsi="Times New Roman" w:cs="Times New Roman"/>
          <w:color w:val="auto"/>
        </w:rPr>
        <w:t>rizikovej</w:t>
      </w:r>
      <w:r>
        <w:rPr>
          <w:rFonts w:ascii="Times New Roman" w:hAnsi="Times New Roman" w:cs="Times New Roman"/>
          <w:color w:val="auto"/>
        </w:rPr>
        <w:t xml:space="preserve"> </w:t>
      </w:r>
      <w:r w:rsidRPr="00F22C41">
        <w:rPr>
          <w:rFonts w:ascii="Times New Roman" w:hAnsi="Times New Roman" w:cs="Times New Roman"/>
          <w:color w:val="auto"/>
        </w:rPr>
        <w:t>a</w:t>
      </w:r>
      <w:r>
        <w:rPr>
          <w:rFonts w:ascii="Times New Roman" w:hAnsi="Times New Roman" w:cs="Times New Roman"/>
          <w:color w:val="auto"/>
        </w:rPr>
        <w:t xml:space="preserve"> </w:t>
      </w:r>
      <w:r w:rsidRPr="00F22C41">
        <w:rPr>
          <w:rFonts w:ascii="Times New Roman" w:hAnsi="Times New Roman" w:cs="Times New Roman"/>
          <w:color w:val="auto"/>
        </w:rPr>
        <w:t>top skupine</w:t>
      </w:r>
      <w:r>
        <w:rPr>
          <w:rFonts w:ascii="Times New Roman" w:hAnsi="Times New Roman" w:cs="Times New Roman"/>
          <w:color w:val="auto"/>
        </w:rPr>
        <w:t xml:space="preserve"> </w:t>
      </w:r>
      <w:r w:rsidRPr="00F22C41">
        <w:rPr>
          <w:rFonts w:ascii="Times New Roman" w:hAnsi="Times New Roman" w:cs="Times New Roman"/>
          <w:color w:val="auto"/>
        </w:rPr>
        <w:t>v</w:t>
      </w:r>
      <w:r>
        <w:rPr>
          <w:rFonts w:ascii="Times New Roman" w:hAnsi="Times New Roman" w:cs="Times New Roman"/>
          <w:color w:val="auto"/>
        </w:rPr>
        <w:t xml:space="preserve"> </w:t>
      </w:r>
      <w:r w:rsidRPr="00F22C41">
        <w:rPr>
          <w:rFonts w:ascii="Times New Roman" w:hAnsi="Times New Roman" w:cs="Times New Roman"/>
          <w:color w:val="auto"/>
        </w:rPr>
        <w:t>rámci jednotlivých typov škôl, ktoré sa testovania</w:t>
      </w:r>
      <w:r>
        <w:rPr>
          <w:rFonts w:ascii="Times New Roman" w:hAnsi="Times New Roman" w:cs="Times New Roman"/>
          <w:color w:val="auto"/>
        </w:rPr>
        <w:t xml:space="preserve"> zúčastnili... N</w:t>
      </w:r>
      <w:r w:rsidRPr="00F22C41">
        <w:rPr>
          <w:rFonts w:ascii="Times New Roman" w:hAnsi="Times New Roman" w:cs="Times New Roman"/>
          <w:color w:val="auto"/>
        </w:rPr>
        <w:t>ajvyšší percentuálny podiel žiakov, ktorí sa svojím výkonom zaradili do rizikovej skupiny,</w:t>
      </w:r>
      <w:r>
        <w:rPr>
          <w:rFonts w:ascii="Times New Roman" w:hAnsi="Times New Roman" w:cs="Times New Roman"/>
          <w:color w:val="auto"/>
        </w:rPr>
        <w:t xml:space="preserve"> </w:t>
      </w:r>
      <w:r w:rsidRPr="00F22C41">
        <w:rPr>
          <w:rFonts w:ascii="Times New Roman" w:hAnsi="Times New Roman" w:cs="Times New Roman"/>
          <w:color w:val="auto"/>
        </w:rPr>
        <w:t>sa</w:t>
      </w:r>
      <w:r>
        <w:rPr>
          <w:rFonts w:ascii="Times New Roman" w:hAnsi="Times New Roman" w:cs="Times New Roman"/>
          <w:color w:val="auto"/>
        </w:rPr>
        <w:t xml:space="preserve"> </w:t>
      </w:r>
      <w:r w:rsidRPr="00F22C41">
        <w:rPr>
          <w:rFonts w:ascii="Times New Roman" w:hAnsi="Times New Roman" w:cs="Times New Roman"/>
          <w:color w:val="auto"/>
        </w:rPr>
        <w:t>nachádza</w:t>
      </w:r>
      <w:r>
        <w:rPr>
          <w:rFonts w:ascii="Times New Roman" w:hAnsi="Times New Roman" w:cs="Times New Roman"/>
          <w:color w:val="auto"/>
        </w:rPr>
        <w:t xml:space="preserve"> </w:t>
      </w:r>
      <w:r w:rsidRPr="00F22C41">
        <w:rPr>
          <w:rFonts w:ascii="Times New Roman" w:hAnsi="Times New Roman" w:cs="Times New Roman"/>
          <w:color w:val="auto"/>
        </w:rPr>
        <w:t>v</w:t>
      </w:r>
      <w:r>
        <w:rPr>
          <w:rFonts w:ascii="Times New Roman" w:hAnsi="Times New Roman" w:cs="Times New Roman"/>
          <w:color w:val="auto"/>
        </w:rPr>
        <w:t xml:space="preserve"> </w:t>
      </w:r>
      <w:r w:rsidRPr="00F22C41">
        <w:rPr>
          <w:rFonts w:ascii="Times New Roman" w:hAnsi="Times New Roman" w:cs="Times New Roman"/>
          <w:color w:val="auto"/>
        </w:rPr>
        <w:t>nematuritných odboroch stredných odborných škôl –</w:t>
      </w:r>
      <w:r w:rsidR="00E1002C">
        <w:rPr>
          <w:rFonts w:ascii="Times New Roman" w:hAnsi="Times New Roman" w:cs="Times New Roman"/>
          <w:color w:val="auto"/>
        </w:rPr>
        <w:t xml:space="preserve"> </w:t>
      </w:r>
      <w:r w:rsidRPr="00F22C41">
        <w:rPr>
          <w:rFonts w:ascii="Times New Roman" w:hAnsi="Times New Roman" w:cs="Times New Roman"/>
          <w:color w:val="auto"/>
        </w:rPr>
        <w:t>až 56,7 %.V</w:t>
      </w:r>
      <w:r>
        <w:rPr>
          <w:rFonts w:ascii="Times New Roman" w:hAnsi="Times New Roman" w:cs="Times New Roman"/>
          <w:color w:val="auto"/>
        </w:rPr>
        <w:t xml:space="preserve"> </w:t>
      </w:r>
      <w:r w:rsidRPr="00F22C41">
        <w:rPr>
          <w:rFonts w:ascii="Times New Roman" w:hAnsi="Times New Roman" w:cs="Times New Roman"/>
          <w:color w:val="auto"/>
        </w:rPr>
        <w:t>tomto type vzdelávania je</w:t>
      </w:r>
      <w:r>
        <w:rPr>
          <w:rFonts w:ascii="Times New Roman" w:hAnsi="Times New Roman" w:cs="Times New Roman"/>
          <w:color w:val="auto"/>
        </w:rPr>
        <w:t xml:space="preserve"> </w:t>
      </w:r>
      <w:r w:rsidRPr="00F22C41">
        <w:rPr>
          <w:rFonts w:ascii="Times New Roman" w:hAnsi="Times New Roman" w:cs="Times New Roman"/>
          <w:color w:val="auto"/>
        </w:rPr>
        <w:t>tiež najnižší percentuálny podiel žiakov</w:t>
      </w:r>
      <w:r>
        <w:rPr>
          <w:rFonts w:ascii="Times New Roman" w:hAnsi="Times New Roman" w:cs="Times New Roman"/>
          <w:color w:val="auto"/>
        </w:rPr>
        <w:t xml:space="preserve"> </w:t>
      </w:r>
      <w:r w:rsidRPr="00F22C41">
        <w:rPr>
          <w:rFonts w:ascii="Times New Roman" w:hAnsi="Times New Roman" w:cs="Times New Roman"/>
          <w:color w:val="auto"/>
        </w:rPr>
        <w:t>v</w:t>
      </w:r>
      <w:r>
        <w:rPr>
          <w:rFonts w:ascii="Times New Roman" w:hAnsi="Times New Roman" w:cs="Times New Roman"/>
          <w:color w:val="auto"/>
        </w:rPr>
        <w:t xml:space="preserve"> </w:t>
      </w:r>
      <w:r w:rsidRPr="00F22C41">
        <w:rPr>
          <w:rFonts w:ascii="Times New Roman" w:hAnsi="Times New Roman" w:cs="Times New Roman"/>
          <w:color w:val="auto"/>
        </w:rPr>
        <w:t>top skupine –</w:t>
      </w:r>
      <w:r w:rsidR="00E1002C">
        <w:rPr>
          <w:rFonts w:ascii="Times New Roman" w:hAnsi="Times New Roman" w:cs="Times New Roman"/>
          <w:color w:val="auto"/>
        </w:rPr>
        <w:t xml:space="preserve"> </w:t>
      </w:r>
      <w:r w:rsidR="00CA3880">
        <w:rPr>
          <w:rFonts w:ascii="Times New Roman" w:hAnsi="Times New Roman" w:cs="Times New Roman"/>
          <w:color w:val="auto"/>
        </w:rPr>
        <w:t>0,2</w:t>
      </w:r>
      <w:r w:rsidRPr="00F22C41">
        <w:rPr>
          <w:rFonts w:ascii="Times New Roman" w:hAnsi="Times New Roman" w:cs="Times New Roman"/>
          <w:color w:val="auto"/>
        </w:rPr>
        <w:t>%. Na opačnej</w:t>
      </w:r>
      <w:r>
        <w:rPr>
          <w:rFonts w:ascii="Times New Roman" w:hAnsi="Times New Roman" w:cs="Times New Roman"/>
          <w:color w:val="auto"/>
        </w:rPr>
        <w:t xml:space="preserve"> </w:t>
      </w:r>
      <w:r w:rsidRPr="00F22C41">
        <w:rPr>
          <w:rFonts w:ascii="Times New Roman" w:hAnsi="Times New Roman" w:cs="Times New Roman"/>
          <w:color w:val="auto"/>
        </w:rPr>
        <w:t>strane spektra sa</w:t>
      </w:r>
      <w:r>
        <w:rPr>
          <w:rFonts w:ascii="Times New Roman" w:hAnsi="Times New Roman" w:cs="Times New Roman"/>
          <w:color w:val="auto"/>
        </w:rPr>
        <w:t xml:space="preserve"> </w:t>
      </w:r>
      <w:r w:rsidRPr="00F22C41">
        <w:rPr>
          <w:rFonts w:ascii="Times New Roman" w:hAnsi="Times New Roman" w:cs="Times New Roman"/>
          <w:color w:val="auto"/>
        </w:rPr>
        <w:t>nachádzajú gymnáziá</w:t>
      </w:r>
      <w:r>
        <w:rPr>
          <w:rFonts w:ascii="Times New Roman" w:hAnsi="Times New Roman" w:cs="Times New Roman"/>
          <w:color w:val="auto"/>
        </w:rPr>
        <w:t xml:space="preserve"> </w:t>
      </w:r>
      <w:r w:rsidRPr="00F22C41">
        <w:rPr>
          <w:rFonts w:ascii="Times New Roman" w:hAnsi="Times New Roman" w:cs="Times New Roman"/>
          <w:color w:val="auto"/>
        </w:rPr>
        <w:t>s 8-ročným vzdelávacím programom,</w:t>
      </w:r>
      <w:r>
        <w:rPr>
          <w:rFonts w:ascii="Times New Roman" w:hAnsi="Times New Roman" w:cs="Times New Roman"/>
          <w:color w:val="auto"/>
        </w:rPr>
        <w:t xml:space="preserve"> </w:t>
      </w:r>
      <w:r w:rsidRPr="00F22C41">
        <w:rPr>
          <w:rFonts w:ascii="Times New Roman" w:hAnsi="Times New Roman" w:cs="Times New Roman"/>
          <w:color w:val="auto"/>
        </w:rPr>
        <w:t>v</w:t>
      </w:r>
      <w:r>
        <w:rPr>
          <w:rFonts w:ascii="Times New Roman" w:hAnsi="Times New Roman" w:cs="Times New Roman"/>
          <w:color w:val="auto"/>
        </w:rPr>
        <w:t xml:space="preserve"> </w:t>
      </w:r>
      <w:r w:rsidRPr="00F22C41">
        <w:rPr>
          <w:rFonts w:ascii="Times New Roman" w:hAnsi="Times New Roman" w:cs="Times New Roman"/>
          <w:color w:val="auto"/>
        </w:rPr>
        <w:t>ktorých je percentuálne zastúpenie žiakov</w:t>
      </w:r>
      <w:r>
        <w:rPr>
          <w:rFonts w:ascii="Times New Roman" w:hAnsi="Times New Roman" w:cs="Times New Roman"/>
          <w:color w:val="auto"/>
        </w:rPr>
        <w:t xml:space="preserve"> </w:t>
      </w:r>
      <w:r w:rsidRPr="00F22C41">
        <w:rPr>
          <w:rFonts w:ascii="Times New Roman" w:hAnsi="Times New Roman" w:cs="Times New Roman"/>
          <w:color w:val="auto"/>
        </w:rPr>
        <w:t>v</w:t>
      </w:r>
      <w:r>
        <w:rPr>
          <w:rFonts w:ascii="Times New Roman" w:hAnsi="Times New Roman" w:cs="Times New Roman"/>
          <w:color w:val="auto"/>
        </w:rPr>
        <w:t xml:space="preserve"> </w:t>
      </w:r>
      <w:r w:rsidRPr="00F22C41">
        <w:rPr>
          <w:rFonts w:ascii="Times New Roman" w:hAnsi="Times New Roman" w:cs="Times New Roman"/>
          <w:color w:val="auto"/>
        </w:rPr>
        <w:t>rizikovej skupine iba 1,5 %, pričom do top skupiny sa svojím výkonom zaradilo až 22,9 % žiakov.</w:t>
      </w:r>
      <w:r>
        <w:rPr>
          <w:rStyle w:val="Odkaznapoznmkupodiarou"/>
          <w:rFonts w:ascii="Times New Roman" w:hAnsi="Times New Roman" w:cs="Times New Roman"/>
          <w:color w:val="auto"/>
        </w:rPr>
        <w:footnoteReference w:id="3"/>
      </w:r>
    </w:p>
    <w:p w:rsidR="00607293" w:rsidRPr="00607293" w:rsidRDefault="00607293" w:rsidP="00607293">
      <w:pPr>
        <w:pStyle w:val="Default"/>
        <w:spacing w:after="120" w:line="360" w:lineRule="auto"/>
        <w:jc w:val="both"/>
        <w:rPr>
          <w:rFonts w:ascii="Times New Roman" w:hAnsi="Times New Roman" w:cs="Times New Roman"/>
        </w:rPr>
      </w:pPr>
      <w:r w:rsidRPr="00607293">
        <w:rPr>
          <w:rFonts w:ascii="Times New Roman" w:hAnsi="Times New Roman" w:cs="Times New Roman"/>
          <w:b/>
          <w:bCs/>
        </w:rPr>
        <w:t xml:space="preserve">Slovenskí žiaci získavajú informácie o finančných záležitostiach prevažne od rodičov </w:t>
      </w:r>
      <w:r w:rsidRPr="00607293">
        <w:rPr>
          <w:rFonts w:ascii="Times New Roman" w:hAnsi="Times New Roman" w:cs="Times New Roman"/>
        </w:rPr>
        <w:t xml:space="preserve">(92,6 % žiakov vybralo túto možnosť v dotazníku) a </w:t>
      </w:r>
      <w:r w:rsidRPr="00607293">
        <w:rPr>
          <w:rFonts w:ascii="Times New Roman" w:hAnsi="Times New Roman" w:cs="Times New Roman"/>
          <w:b/>
          <w:bCs/>
        </w:rPr>
        <w:t xml:space="preserve">z internetu </w:t>
      </w:r>
      <w:r w:rsidRPr="00607293">
        <w:rPr>
          <w:rFonts w:ascii="Times New Roman" w:hAnsi="Times New Roman" w:cs="Times New Roman"/>
        </w:rPr>
        <w:t xml:space="preserve">(uviedlo ju 78,8 % žiakov). </w:t>
      </w:r>
    </w:p>
    <w:p w:rsidR="00F22C41" w:rsidRPr="00F22C41" w:rsidRDefault="00B93457" w:rsidP="00CA3880">
      <w:pPr>
        <w:spacing w:after="120" w:line="360" w:lineRule="auto"/>
        <w:jc w:val="both"/>
        <w:rPr>
          <w:rFonts w:ascii="Times New Roman" w:hAnsi="Times New Roman" w:cs="Times New Roman"/>
          <w:color w:val="212121"/>
          <w:sz w:val="24"/>
          <w:szCs w:val="24"/>
        </w:rPr>
      </w:pPr>
      <w:r>
        <w:rPr>
          <w:rFonts w:ascii="Times New Roman" w:hAnsi="Times New Roman" w:cs="Times New Roman"/>
          <w:sz w:val="24"/>
          <w:szCs w:val="24"/>
        </w:rPr>
        <w:lastRenderedPageBreak/>
        <w:t>Z hore uvedených informácií vyplýva</w:t>
      </w:r>
      <w:r w:rsidR="00F22C41" w:rsidRPr="00FD4129">
        <w:rPr>
          <w:rFonts w:ascii="Times New Roman" w:hAnsi="Times New Roman" w:cs="Times New Roman"/>
          <w:sz w:val="24"/>
          <w:szCs w:val="24"/>
        </w:rPr>
        <w:t>, že rozdrobenosť a </w:t>
      </w:r>
      <w:proofErr w:type="spellStart"/>
      <w:r w:rsidR="00F22C41" w:rsidRPr="00FD4129">
        <w:rPr>
          <w:rFonts w:ascii="Times New Roman" w:hAnsi="Times New Roman" w:cs="Times New Roman"/>
          <w:sz w:val="24"/>
          <w:szCs w:val="24"/>
        </w:rPr>
        <w:t>nekoncepčnosť</w:t>
      </w:r>
      <w:proofErr w:type="spellEnd"/>
      <w:r w:rsidR="00F22C41" w:rsidRPr="00FD4129">
        <w:rPr>
          <w:rFonts w:ascii="Times New Roman" w:hAnsi="Times New Roman" w:cs="Times New Roman"/>
          <w:sz w:val="24"/>
          <w:szCs w:val="24"/>
        </w:rPr>
        <w:t xml:space="preserve"> vzdelávania FG sa odrazila aj na výsledkoch </w:t>
      </w:r>
      <w:r w:rsidR="00F22C41" w:rsidRPr="00FD4129">
        <w:rPr>
          <w:rFonts w:ascii="Times New Roman" w:hAnsi="Times New Roman" w:cs="Times New Roman"/>
          <w:color w:val="212121"/>
          <w:sz w:val="24"/>
          <w:szCs w:val="24"/>
        </w:rPr>
        <w:t>medzinárodnej štúdie PISA 2018 – finančná gramotnosť</w:t>
      </w:r>
      <w:r w:rsidR="00607293">
        <w:rPr>
          <w:rFonts w:ascii="Times New Roman" w:hAnsi="Times New Roman" w:cs="Times New Roman"/>
          <w:color w:val="212121"/>
          <w:sz w:val="24"/>
          <w:szCs w:val="24"/>
        </w:rPr>
        <w:t>,</w:t>
      </w:r>
      <w:r w:rsidR="00F22C41" w:rsidRPr="00FD4129">
        <w:rPr>
          <w:rFonts w:ascii="Times New Roman" w:hAnsi="Times New Roman" w:cs="Times New Roman"/>
          <w:color w:val="212121"/>
          <w:sz w:val="24"/>
          <w:szCs w:val="24"/>
        </w:rPr>
        <w:t xml:space="preserve"> z čoho vyplynul</w:t>
      </w:r>
      <w:r w:rsidR="00607293">
        <w:rPr>
          <w:rFonts w:ascii="Times New Roman" w:hAnsi="Times New Roman" w:cs="Times New Roman"/>
          <w:color w:val="212121"/>
          <w:sz w:val="24"/>
          <w:szCs w:val="24"/>
        </w:rPr>
        <w:t xml:space="preserve">i odporúčania pre skvalitnenie vzdelávania v tejto oblasti už na primárnom stupni základnej školy. </w:t>
      </w:r>
    </w:p>
    <w:p w:rsidR="00B93457" w:rsidRDefault="00F22C41" w:rsidP="00F22C4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Účelom „mapovania....“ je</w:t>
      </w:r>
      <w:r w:rsidRPr="003D65A4">
        <w:rPr>
          <w:rFonts w:ascii="Times New Roman" w:hAnsi="Times New Roman" w:cs="Times New Roman"/>
          <w:sz w:val="24"/>
          <w:szCs w:val="24"/>
        </w:rPr>
        <w:t xml:space="preserve"> zistiť, ktoré témy a čiast</w:t>
      </w:r>
      <w:r>
        <w:rPr>
          <w:rFonts w:ascii="Times New Roman" w:hAnsi="Times New Roman" w:cs="Times New Roman"/>
          <w:sz w:val="24"/>
          <w:szCs w:val="24"/>
        </w:rPr>
        <w:t>kové kompetencie z NŠFG</w:t>
      </w:r>
      <w:r w:rsidRPr="003D65A4">
        <w:rPr>
          <w:rFonts w:ascii="Times New Roman" w:hAnsi="Times New Roman" w:cs="Times New Roman"/>
          <w:sz w:val="24"/>
          <w:szCs w:val="24"/>
        </w:rPr>
        <w:t xml:space="preserve"> nie sú dostatočne pokryté</w:t>
      </w:r>
      <w:r>
        <w:rPr>
          <w:rFonts w:ascii="Times New Roman" w:hAnsi="Times New Roman" w:cs="Times New Roman"/>
          <w:sz w:val="24"/>
          <w:szCs w:val="24"/>
        </w:rPr>
        <w:t xml:space="preserve"> </w:t>
      </w:r>
      <w:r w:rsidR="00B93457">
        <w:rPr>
          <w:rFonts w:ascii="Times New Roman" w:hAnsi="Times New Roman" w:cs="Times New Roman"/>
          <w:sz w:val="24"/>
          <w:szCs w:val="24"/>
        </w:rPr>
        <w:t xml:space="preserve">v rámci celoživotného vzdelávania </w:t>
      </w:r>
      <w:r>
        <w:rPr>
          <w:rFonts w:ascii="Times New Roman" w:hAnsi="Times New Roman" w:cs="Times New Roman"/>
          <w:sz w:val="24"/>
          <w:szCs w:val="24"/>
        </w:rPr>
        <w:t>a ktorá z mapovaných inštitúcií sa čo najkomplexnejšie venuje finančnej gramotnosti</w:t>
      </w:r>
      <w:r w:rsidRPr="003D65A4">
        <w:rPr>
          <w:rFonts w:ascii="Times New Roman" w:hAnsi="Times New Roman" w:cs="Times New Roman"/>
          <w:sz w:val="24"/>
          <w:szCs w:val="24"/>
        </w:rPr>
        <w:t>.</w:t>
      </w:r>
      <w:r w:rsidR="00E1002C">
        <w:rPr>
          <w:rFonts w:ascii="Times New Roman" w:hAnsi="Times New Roman" w:cs="Times New Roman"/>
          <w:sz w:val="24"/>
          <w:szCs w:val="24"/>
        </w:rPr>
        <w:t xml:space="preserve"> Z nášho mapovania</w:t>
      </w:r>
      <w:r>
        <w:rPr>
          <w:rFonts w:ascii="Times New Roman" w:hAnsi="Times New Roman" w:cs="Times New Roman"/>
          <w:sz w:val="24"/>
          <w:szCs w:val="24"/>
        </w:rPr>
        <w:t xml:space="preserve"> vyplýva, že najkomplexnejšie sa vzdelávaniu v oblasti finančnej gramotnosti venuje Junior </w:t>
      </w:r>
      <w:proofErr w:type="spellStart"/>
      <w:r>
        <w:rPr>
          <w:rFonts w:ascii="Times New Roman" w:hAnsi="Times New Roman" w:cs="Times New Roman"/>
          <w:sz w:val="24"/>
          <w:szCs w:val="24"/>
        </w:rPr>
        <w:t>Achievement</w:t>
      </w:r>
      <w:proofErr w:type="spellEnd"/>
      <w:r>
        <w:rPr>
          <w:rFonts w:ascii="Times New Roman" w:hAnsi="Times New Roman" w:cs="Times New Roman"/>
          <w:sz w:val="24"/>
          <w:szCs w:val="24"/>
        </w:rPr>
        <w:t xml:space="preserve"> Slovensko, n. o. Na druhom mieste sa zaradili ŠPÚ, MPC, Nadácia pre deti Slovenska a Nadácia SĽSP. Vyplýva to aj z toho dôvodu, že sa venujú dvom úrovniam základnej školy, čo v rámci svojej podstaty diskvalifikuje napríklad ŠIOV a Ekonomickú univerzitu v Bratislave, ktoré pokrývajú tretiu úroveň, teda stredné školy. Ostatné inštitúcie Medzirezortnej expertnej skupiny FG sa zaoberajú vzdelávaním v tejto oblasti v rámci svojich kompetencií a zamerania. </w:t>
      </w:r>
    </w:p>
    <w:p w:rsidR="0009411B" w:rsidRDefault="00F22C41" w:rsidP="0068292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Uvedené podklady sú z obdobia rokov 2016 – 2018 a preto treba zdôrazniť, že v roku 2019 sa začala </w:t>
      </w:r>
      <w:r w:rsidR="008A3E25">
        <w:rPr>
          <w:rFonts w:ascii="Times New Roman" w:hAnsi="Times New Roman" w:cs="Times New Roman"/>
          <w:sz w:val="24"/>
          <w:szCs w:val="24"/>
        </w:rPr>
        <w:t xml:space="preserve">vzdelávaniu v oblasti finančnej gramotnosti </w:t>
      </w:r>
      <w:r>
        <w:rPr>
          <w:rFonts w:ascii="Times New Roman" w:hAnsi="Times New Roman" w:cs="Times New Roman"/>
          <w:sz w:val="24"/>
          <w:szCs w:val="24"/>
        </w:rPr>
        <w:t>veľmi intenzívne venovať Národná banka Slovenska</w:t>
      </w:r>
      <w:r w:rsidR="008B7083">
        <w:rPr>
          <w:rFonts w:ascii="Times New Roman" w:hAnsi="Times New Roman" w:cs="Times New Roman"/>
          <w:sz w:val="24"/>
          <w:szCs w:val="24"/>
        </w:rPr>
        <w:t xml:space="preserve"> (NBS)</w:t>
      </w:r>
      <w:r>
        <w:rPr>
          <w:rFonts w:ascii="Times New Roman" w:hAnsi="Times New Roman" w:cs="Times New Roman"/>
          <w:sz w:val="24"/>
          <w:szCs w:val="24"/>
        </w:rPr>
        <w:t xml:space="preserve"> a Nadácia slovenskej sporiteľne</w:t>
      </w:r>
      <w:r w:rsidR="008B7083">
        <w:rPr>
          <w:rFonts w:ascii="Times New Roman" w:hAnsi="Times New Roman" w:cs="Times New Roman"/>
          <w:sz w:val="24"/>
          <w:szCs w:val="24"/>
        </w:rPr>
        <w:t xml:space="preserve"> (Nadácia SLSP)</w:t>
      </w:r>
      <w:r>
        <w:rPr>
          <w:rFonts w:ascii="Times New Roman" w:hAnsi="Times New Roman" w:cs="Times New Roman"/>
          <w:sz w:val="24"/>
          <w:szCs w:val="24"/>
        </w:rPr>
        <w:t xml:space="preserve">. </w:t>
      </w:r>
    </w:p>
    <w:p w:rsidR="008B7083" w:rsidRPr="008B7083" w:rsidRDefault="008B7083" w:rsidP="00F30A84">
      <w:pPr>
        <w:pStyle w:val="Normlnywebov"/>
        <w:shd w:val="clear" w:color="auto" w:fill="FFFFFF"/>
        <w:spacing w:before="0" w:beforeAutospacing="0" w:after="120" w:afterAutospacing="0" w:line="360" w:lineRule="auto"/>
        <w:jc w:val="both"/>
        <w:textAlignment w:val="baseline"/>
        <w:rPr>
          <w:color w:val="13171A"/>
        </w:rPr>
      </w:pPr>
      <w:r w:rsidRPr="008B7083">
        <w:rPr>
          <w:color w:val="13171A"/>
        </w:rPr>
        <w:t>Národná banka Slovenska pripravila </w:t>
      </w:r>
      <w:hyperlink r:id="rId17" w:tgtFrame="_blank" w:history="1">
        <w:r w:rsidRPr="008B7083">
          <w:rPr>
            <w:rStyle w:val="Siln"/>
            <w:color w:val="134394"/>
            <w:bdr w:val="none" w:sz="0" w:space="0" w:color="auto" w:frame="1"/>
          </w:rPr>
          <w:t>Stratégiu NBS na podporu finančnej gramotnosti</w:t>
        </w:r>
      </w:hyperlink>
      <w:r w:rsidRPr="008B7083">
        <w:rPr>
          <w:color w:val="13171A"/>
        </w:rPr>
        <w:t> a plánuje v budúcnosti ešte viac podporiť finančné vzdelávanie rôznymi aktivitami.</w:t>
      </w:r>
    </w:p>
    <w:p w:rsidR="008B7083" w:rsidRDefault="008B7083" w:rsidP="00F30A84">
      <w:pPr>
        <w:pStyle w:val="Normlnywebov"/>
        <w:shd w:val="clear" w:color="auto" w:fill="FFFFFF"/>
        <w:spacing w:before="0" w:beforeAutospacing="0" w:after="120" w:afterAutospacing="0" w:line="360" w:lineRule="auto"/>
        <w:jc w:val="both"/>
        <w:textAlignment w:val="baseline"/>
        <w:rPr>
          <w:color w:val="13171A"/>
        </w:rPr>
      </w:pPr>
      <w:r w:rsidRPr="008B7083">
        <w:rPr>
          <w:color w:val="13171A"/>
        </w:rPr>
        <w:t>NBS si uvedomuje, že nízka finančná gramotnosť obyvateľov na Slovensku je častou príčinou problémov, do ktorých sa spotrebitelia dostanú, prípadne je dôvodom ich nespokojnosti</w:t>
      </w:r>
      <w:r>
        <w:rPr>
          <w:color w:val="13171A"/>
        </w:rPr>
        <w:t xml:space="preserve"> s finančnou službou.</w:t>
      </w:r>
      <w:r>
        <w:rPr>
          <w:rStyle w:val="Odkaznapoznmkupodiarou"/>
          <w:color w:val="13171A"/>
        </w:rPr>
        <w:footnoteReference w:id="4"/>
      </w:r>
    </w:p>
    <w:p w:rsidR="008B7083" w:rsidRPr="0068292D" w:rsidRDefault="008B7083" w:rsidP="008A3E25">
      <w:pPr>
        <w:pStyle w:val="Normlnywebov"/>
        <w:spacing w:before="0" w:beforeAutospacing="0" w:after="120" w:afterAutospacing="0" w:line="360" w:lineRule="auto"/>
        <w:jc w:val="both"/>
      </w:pPr>
      <w:r w:rsidRPr="008B7083">
        <w:t>Nadácia SLSP pripravila prvý vlastný komplexný program finančného vzdelávania pre školy s názvom </w:t>
      </w:r>
      <w:proofErr w:type="spellStart"/>
      <w:r w:rsidRPr="008B7083">
        <w:rPr>
          <w:b/>
          <w:bCs/>
        </w:rPr>
        <w:t>FinQ</w:t>
      </w:r>
      <w:proofErr w:type="spellEnd"/>
      <w:r w:rsidRPr="008B7083">
        <w:t>.  Jeho vznik podnietili samotné školy, ktoré cítia potrebu reagovať na stagnujúcu úroveň finančnej kultúry u mladých, čo môže v ich dospelom živote vyústiť do nesprávnych rozhodnutí, ktoré by mo</w:t>
      </w:r>
      <w:r>
        <w:t>hli negatívne ovplyvniť kvalitu.</w:t>
      </w:r>
      <w:r>
        <w:rPr>
          <w:rStyle w:val="Odkaznapoznmkupodiarou"/>
        </w:rPr>
        <w:footnoteReference w:id="5"/>
      </w:r>
    </w:p>
    <w:sectPr w:rsidR="008B7083" w:rsidRPr="0068292D" w:rsidSect="001068A5">
      <w:pgSz w:w="16838" w:h="11906" w:orient="landscape"/>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00F" w:rsidRDefault="0087600F" w:rsidP="000448BF">
      <w:pPr>
        <w:spacing w:after="0" w:line="240" w:lineRule="auto"/>
      </w:pPr>
      <w:r>
        <w:separator/>
      </w:r>
    </w:p>
  </w:endnote>
  <w:endnote w:type="continuationSeparator" w:id="0">
    <w:p w:rsidR="0087600F" w:rsidRDefault="0087600F" w:rsidP="0004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00F" w:rsidRDefault="0087600F" w:rsidP="000448BF">
      <w:pPr>
        <w:spacing w:after="0" w:line="240" w:lineRule="auto"/>
      </w:pPr>
      <w:r>
        <w:separator/>
      </w:r>
    </w:p>
  </w:footnote>
  <w:footnote w:type="continuationSeparator" w:id="0">
    <w:p w:rsidR="0087600F" w:rsidRDefault="0087600F" w:rsidP="000448BF">
      <w:pPr>
        <w:spacing w:after="0" w:line="240" w:lineRule="auto"/>
      </w:pPr>
      <w:r>
        <w:continuationSeparator/>
      </w:r>
    </w:p>
  </w:footnote>
  <w:footnote w:id="1">
    <w:p w:rsidR="003E1C31" w:rsidRDefault="003E1C31">
      <w:pPr>
        <w:pStyle w:val="Textpoznmkypodiarou"/>
      </w:pPr>
      <w:r>
        <w:rPr>
          <w:rStyle w:val="Odkaznapoznmkupodiarou"/>
        </w:rPr>
        <w:footnoteRef/>
      </w:r>
      <w:r>
        <w:t xml:space="preserve"> </w:t>
      </w:r>
      <w:hyperlink r:id="rId1" w:history="1">
        <w:r w:rsidRPr="002277FA">
          <w:rPr>
            <w:rStyle w:val="Hypertextovprepojenie"/>
          </w:rPr>
          <w:t>www.nucem.sk</w:t>
        </w:r>
      </w:hyperlink>
      <w:r>
        <w:t xml:space="preserve">: Národná správa PISA 2018 </w:t>
      </w:r>
    </w:p>
  </w:footnote>
  <w:footnote w:id="2">
    <w:p w:rsidR="003E1C31" w:rsidRDefault="003E1C31">
      <w:pPr>
        <w:pStyle w:val="Textpoznmkypodiarou"/>
      </w:pPr>
      <w:r>
        <w:rPr>
          <w:rStyle w:val="Odkaznapoznmkupodiarou"/>
        </w:rPr>
        <w:footnoteRef/>
      </w:r>
      <w:r>
        <w:t xml:space="preserve"> NÚCEM: Tlačová správa – Výsledky slovenských žiakov v oblasti finančnej gramotnosti v medzinárodnom hodnotení OECD PISA 2018</w:t>
      </w:r>
    </w:p>
  </w:footnote>
  <w:footnote w:id="3">
    <w:p w:rsidR="003E1C31" w:rsidRDefault="003E1C31">
      <w:pPr>
        <w:pStyle w:val="Textpoznmkypodiarou"/>
      </w:pPr>
      <w:r>
        <w:rPr>
          <w:rStyle w:val="Odkaznapoznmkupodiarou"/>
        </w:rPr>
        <w:footnoteRef/>
      </w:r>
      <w:r>
        <w:t xml:space="preserve"> </w:t>
      </w:r>
      <w:hyperlink r:id="rId2" w:history="1">
        <w:r w:rsidRPr="005D15F4">
          <w:rPr>
            <w:rStyle w:val="Hypertextovprepojenie"/>
          </w:rPr>
          <w:t>www.nucem.sk</w:t>
        </w:r>
      </w:hyperlink>
      <w:r>
        <w:t xml:space="preserve"> – PISA 2018, Prvé výsledky medzinárodného výskumu 15-ročných žiakov v oblasti finančnej gramotnosti z pohľadu Slovenska</w:t>
      </w:r>
    </w:p>
  </w:footnote>
  <w:footnote w:id="4">
    <w:p w:rsidR="003E1C31" w:rsidRPr="008B7083" w:rsidRDefault="003E1C31" w:rsidP="008B7083">
      <w:pPr>
        <w:pStyle w:val="Normlnywebov"/>
        <w:shd w:val="clear" w:color="auto" w:fill="FFFFFF"/>
        <w:spacing w:before="0" w:beforeAutospacing="0" w:after="360" w:afterAutospacing="0"/>
        <w:textAlignment w:val="baseline"/>
        <w:rPr>
          <w:rFonts w:ascii="Arial" w:hAnsi="Arial" w:cs="Arial"/>
          <w:color w:val="13171A"/>
          <w:sz w:val="19"/>
          <w:szCs w:val="19"/>
        </w:rPr>
      </w:pPr>
      <w:r>
        <w:rPr>
          <w:rStyle w:val="Odkaznapoznmkupodiarou"/>
        </w:rPr>
        <w:footnoteRef/>
      </w:r>
      <w:r>
        <w:t xml:space="preserve"> </w:t>
      </w:r>
      <w:r w:rsidRPr="008B7083">
        <w:rPr>
          <w:rFonts w:asciiTheme="minorHAnsi" w:hAnsiTheme="minorHAnsi" w:cstheme="minorHAnsi"/>
          <w:color w:val="13171A"/>
          <w:sz w:val="20"/>
          <w:szCs w:val="20"/>
        </w:rPr>
        <w:t>0</w:t>
      </w:r>
      <w:r>
        <w:rPr>
          <w:rFonts w:asciiTheme="minorHAnsi" w:hAnsiTheme="minorHAnsi" w:cstheme="minorHAnsi"/>
          <w:color w:val="13171A"/>
          <w:sz w:val="20"/>
          <w:szCs w:val="20"/>
        </w:rPr>
        <w:t>7. 11. 2019 | Tlačová správa NBS</w:t>
      </w:r>
    </w:p>
  </w:footnote>
  <w:footnote w:id="5">
    <w:p w:rsidR="003E1C31" w:rsidRDefault="003E1C31">
      <w:pPr>
        <w:pStyle w:val="Textpoznmkypodiarou"/>
      </w:pPr>
      <w:r>
        <w:rPr>
          <w:rStyle w:val="Odkaznapoznmkupodiarou"/>
        </w:rPr>
        <w:footnoteRef/>
      </w:r>
      <w:r>
        <w:t xml:space="preserve"> </w:t>
      </w:r>
      <w:hyperlink r:id="rId3" w:history="1">
        <w:r>
          <w:rPr>
            <w:rStyle w:val="Hypertextovprepojenie"/>
          </w:rPr>
          <w:t>https://www.slsp.sk/sk/nadacia/finq</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066F"/>
    <w:multiLevelType w:val="multilevel"/>
    <w:tmpl w:val="EA1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F7CD1"/>
    <w:multiLevelType w:val="multilevel"/>
    <w:tmpl w:val="6EB8E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1761AA"/>
    <w:multiLevelType w:val="hybridMultilevel"/>
    <w:tmpl w:val="EA2C36B0"/>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72241712"/>
    <w:multiLevelType w:val="multilevel"/>
    <w:tmpl w:val="9D4AC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E5FCD"/>
    <w:multiLevelType w:val="multilevel"/>
    <w:tmpl w:val="24CA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A7"/>
    <w:rsid w:val="00015902"/>
    <w:rsid w:val="000448BF"/>
    <w:rsid w:val="0009411B"/>
    <w:rsid w:val="000A36A7"/>
    <w:rsid w:val="000B37D5"/>
    <w:rsid w:val="000B6839"/>
    <w:rsid w:val="000D0CE7"/>
    <w:rsid w:val="000F1537"/>
    <w:rsid w:val="001068A5"/>
    <w:rsid w:val="00153616"/>
    <w:rsid w:val="0016028D"/>
    <w:rsid w:val="00192D46"/>
    <w:rsid w:val="001A19CC"/>
    <w:rsid w:val="00212016"/>
    <w:rsid w:val="00242D10"/>
    <w:rsid w:val="00243CA9"/>
    <w:rsid w:val="00295098"/>
    <w:rsid w:val="002D1822"/>
    <w:rsid w:val="0032306F"/>
    <w:rsid w:val="00344E16"/>
    <w:rsid w:val="0037459D"/>
    <w:rsid w:val="003C63D9"/>
    <w:rsid w:val="003E1C31"/>
    <w:rsid w:val="003E77AC"/>
    <w:rsid w:val="003F05F4"/>
    <w:rsid w:val="00434242"/>
    <w:rsid w:val="00463839"/>
    <w:rsid w:val="004B16EE"/>
    <w:rsid w:val="00534557"/>
    <w:rsid w:val="00571538"/>
    <w:rsid w:val="00572CCC"/>
    <w:rsid w:val="005822ED"/>
    <w:rsid w:val="0058304E"/>
    <w:rsid w:val="005A17EF"/>
    <w:rsid w:val="005B75D3"/>
    <w:rsid w:val="00607293"/>
    <w:rsid w:val="00622AE5"/>
    <w:rsid w:val="00670F27"/>
    <w:rsid w:val="0068292D"/>
    <w:rsid w:val="006E5F23"/>
    <w:rsid w:val="0075386F"/>
    <w:rsid w:val="007C6E56"/>
    <w:rsid w:val="007D1CB4"/>
    <w:rsid w:val="007F51F0"/>
    <w:rsid w:val="0087600F"/>
    <w:rsid w:val="00883F14"/>
    <w:rsid w:val="0088549A"/>
    <w:rsid w:val="008A3E25"/>
    <w:rsid w:val="008B7083"/>
    <w:rsid w:val="008D1275"/>
    <w:rsid w:val="009052F3"/>
    <w:rsid w:val="00906FF3"/>
    <w:rsid w:val="009513E6"/>
    <w:rsid w:val="00962031"/>
    <w:rsid w:val="00AF73DF"/>
    <w:rsid w:val="00B14A31"/>
    <w:rsid w:val="00B33962"/>
    <w:rsid w:val="00B93457"/>
    <w:rsid w:val="00B9444D"/>
    <w:rsid w:val="00BB4EAB"/>
    <w:rsid w:val="00BC225E"/>
    <w:rsid w:val="00C07D60"/>
    <w:rsid w:val="00C36571"/>
    <w:rsid w:val="00C858E0"/>
    <w:rsid w:val="00C85E4D"/>
    <w:rsid w:val="00CA3880"/>
    <w:rsid w:val="00CC7CE7"/>
    <w:rsid w:val="00CF05B2"/>
    <w:rsid w:val="00D06D9D"/>
    <w:rsid w:val="00D305FE"/>
    <w:rsid w:val="00D511BE"/>
    <w:rsid w:val="00D815A6"/>
    <w:rsid w:val="00DA5EFE"/>
    <w:rsid w:val="00DA6AED"/>
    <w:rsid w:val="00DB28BC"/>
    <w:rsid w:val="00DD37A7"/>
    <w:rsid w:val="00E1002C"/>
    <w:rsid w:val="00E469DC"/>
    <w:rsid w:val="00E65447"/>
    <w:rsid w:val="00E841C4"/>
    <w:rsid w:val="00EA6B54"/>
    <w:rsid w:val="00ED5A8C"/>
    <w:rsid w:val="00EE5452"/>
    <w:rsid w:val="00EF1030"/>
    <w:rsid w:val="00F03490"/>
    <w:rsid w:val="00F22C41"/>
    <w:rsid w:val="00F30A84"/>
    <w:rsid w:val="00F30E77"/>
    <w:rsid w:val="00F5645F"/>
    <w:rsid w:val="00F967F1"/>
    <w:rsid w:val="00FC6561"/>
    <w:rsid w:val="00FD41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D282C-48D2-4BB5-B678-9113445D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37A7"/>
  </w:style>
  <w:style w:type="paragraph" w:styleId="Nadpis1">
    <w:name w:val="heading 1"/>
    <w:basedOn w:val="Normlny"/>
    <w:link w:val="Nadpis1Char"/>
    <w:uiPriority w:val="9"/>
    <w:qFormat/>
    <w:rsid w:val="008B70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D37A7"/>
    <w:rPr>
      <w:color w:val="0000FF"/>
      <w:u w:val="single"/>
    </w:rPr>
  </w:style>
  <w:style w:type="paragraph" w:styleId="Odsekzoznamu">
    <w:name w:val="List Paragraph"/>
    <w:basedOn w:val="Normlny"/>
    <w:uiPriority w:val="34"/>
    <w:qFormat/>
    <w:rsid w:val="00BC225E"/>
    <w:pPr>
      <w:spacing w:after="200" w:line="276" w:lineRule="auto"/>
      <w:ind w:left="720"/>
      <w:contextualSpacing/>
    </w:pPr>
  </w:style>
  <w:style w:type="paragraph" w:styleId="Textpoznmkypodiarou">
    <w:name w:val="footnote text"/>
    <w:basedOn w:val="Normlny"/>
    <w:link w:val="TextpoznmkypodiarouChar"/>
    <w:uiPriority w:val="99"/>
    <w:semiHidden/>
    <w:unhideWhenUsed/>
    <w:rsid w:val="000448B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448BF"/>
    <w:rPr>
      <w:sz w:val="20"/>
      <w:szCs w:val="20"/>
    </w:rPr>
  </w:style>
  <w:style w:type="character" w:styleId="Odkaznapoznmkupodiarou">
    <w:name w:val="footnote reference"/>
    <w:basedOn w:val="Predvolenpsmoodseku"/>
    <w:uiPriority w:val="99"/>
    <w:semiHidden/>
    <w:unhideWhenUsed/>
    <w:rsid w:val="000448BF"/>
    <w:rPr>
      <w:vertAlign w:val="superscript"/>
    </w:rPr>
  </w:style>
  <w:style w:type="paragraph" w:customStyle="1" w:styleId="Default">
    <w:name w:val="Default"/>
    <w:rsid w:val="0068292D"/>
    <w:pPr>
      <w:autoSpaceDE w:val="0"/>
      <w:autoSpaceDN w:val="0"/>
      <w:adjustRightInd w:val="0"/>
      <w:spacing w:after="0" w:line="240" w:lineRule="auto"/>
    </w:pPr>
    <w:rPr>
      <w:rFonts w:ascii="Calibri" w:hAnsi="Calibri" w:cs="Calibri"/>
      <w:color w:val="000000"/>
      <w:sz w:val="24"/>
      <w:szCs w:val="24"/>
    </w:rPr>
  </w:style>
  <w:style w:type="character" w:customStyle="1" w:styleId="Nadpis1Char">
    <w:name w:val="Nadpis 1 Char"/>
    <w:basedOn w:val="Predvolenpsmoodseku"/>
    <w:link w:val="Nadpis1"/>
    <w:uiPriority w:val="9"/>
    <w:rsid w:val="008B7083"/>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unhideWhenUsed/>
    <w:rsid w:val="008B708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8B7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37713">
      <w:bodyDiv w:val="1"/>
      <w:marLeft w:val="0"/>
      <w:marRight w:val="0"/>
      <w:marTop w:val="0"/>
      <w:marBottom w:val="0"/>
      <w:divBdr>
        <w:top w:val="none" w:sz="0" w:space="0" w:color="auto"/>
        <w:left w:val="none" w:sz="0" w:space="0" w:color="auto"/>
        <w:bottom w:val="none" w:sz="0" w:space="0" w:color="auto"/>
        <w:right w:val="none" w:sz="0" w:space="0" w:color="auto"/>
      </w:divBdr>
    </w:div>
    <w:div w:id="278800192">
      <w:bodyDiv w:val="1"/>
      <w:marLeft w:val="0"/>
      <w:marRight w:val="0"/>
      <w:marTop w:val="0"/>
      <w:marBottom w:val="0"/>
      <w:divBdr>
        <w:top w:val="none" w:sz="0" w:space="0" w:color="auto"/>
        <w:left w:val="none" w:sz="0" w:space="0" w:color="auto"/>
        <w:bottom w:val="none" w:sz="0" w:space="0" w:color="auto"/>
        <w:right w:val="none" w:sz="0" w:space="0" w:color="auto"/>
      </w:divBdr>
    </w:div>
    <w:div w:id="536747549">
      <w:bodyDiv w:val="1"/>
      <w:marLeft w:val="0"/>
      <w:marRight w:val="0"/>
      <w:marTop w:val="0"/>
      <w:marBottom w:val="0"/>
      <w:divBdr>
        <w:top w:val="none" w:sz="0" w:space="0" w:color="auto"/>
        <w:left w:val="none" w:sz="0" w:space="0" w:color="auto"/>
        <w:bottom w:val="none" w:sz="0" w:space="0" w:color="auto"/>
        <w:right w:val="none" w:sz="0" w:space="0" w:color="auto"/>
      </w:divBdr>
    </w:div>
    <w:div w:id="915287793">
      <w:bodyDiv w:val="1"/>
      <w:marLeft w:val="0"/>
      <w:marRight w:val="0"/>
      <w:marTop w:val="0"/>
      <w:marBottom w:val="0"/>
      <w:divBdr>
        <w:top w:val="none" w:sz="0" w:space="0" w:color="auto"/>
        <w:left w:val="none" w:sz="0" w:space="0" w:color="auto"/>
        <w:bottom w:val="none" w:sz="0" w:space="0" w:color="auto"/>
        <w:right w:val="none" w:sz="0" w:space="0" w:color="auto"/>
      </w:divBdr>
    </w:div>
    <w:div w:id="920523875">
      <w:bodyDiv w:val="1"/>
      <w:marLeft w:val="0"/>
      <w:marRight w:val="0"/>
      <w:marTop w:val="0"/>
      <w:marBottom w:val="0"/>
      <w:divBdr>
        <w:top w:val="none" w:sz="0" w:space="0" w:color="auto"/>
        <w:left w:val="none" w:sz="0" w:space="0" w:color="auto"/>
        <w:bottom w:val="none" w:sz="0" w:space="0" w:color="auto"/>
        <w:right w:val="none" w:sz="0" w:space="0" w:color="auto"/>
      </w:divBdr>
    </w:div>
    <w:div w:id="995495132">
      <w:bodyDiv w:val="1"/>
      <w:marLeft w:val="0"/>
      <w:marRight w:val="0"/>
      <w:marTop w:val="0"/>
      <w:marBottom w:val="0"/>
      <w:divBdr>
        <w:top w:val="none" w:sz="0" w:space="0" w:color="auto"/>
        <w:left w:val="none" w:sz="0" w:space="0" w:color="auto"/>
        <w:bottom w:val="none" w:sz="0" w:space="0" w:color="auto"/>
        <w:right w:val="none" w:sz="0" w:space="0" w:color="auto"/>
      </w:divBdr>
    </w:div>
    <w:div w:id="1098525943">
      <w:bodyDiv w:val="1"/>
      <w:marLeft w:val="0"/>
      <w:marRight w:val="0"/>
      <w:marTop w:val="0"/>
      <w:marBottom w:val="0"/>
      <w:divBdr>
        <w:top w:val="none" w:sz="0" w:space="0" w:color="auto"/>
        <w:left w:val="none" w:sz="0" w:space="0" w:color="auto"/>
        <w:bottom w:val="none" w:sz="0" w:space="0" w:color="auto"/>
        <w:right w:val="none" w:sz="0" w:space="0" w:color="auto"/>
      </w:divBdr>
    </w:div>
    <w:div w:id="1210535178">
      <w:bodyDiv w:val="1"/>
      <w:marLeft w:val="0"/>
      <w:marRight w:val="0"/>
      <w:marTop w:val="0"/>
      <w:marBottom w:val="0"/>
      <w:divBdr>
        <w:top w:val="none" w:sz="0" w:space="0" w:color="auto"/>
        <w:left w:val="none" w:sz="0" w:space="0" w:color="auto"/>
        <w:bottom w:val="none" w:sz="0" w:space="0" w:color="auto"/>
        <w:right w:val="none" w:sz="0" w:space="0" w:color="auto"/>
      </w:divBdr>
    </w:div>
    <w:div w:id="1281036348">
      <w:bodyDiv w:val="1"/>
      <w:marLeft w:val="0"/>
      <w:marRight w:val="0"/>
      <w:marTop w:val="0"/>
      <w:marBottom w:val="0"/>
      <w:divBdr>
        <w:top w:val="none" w:sz="0" w:space="0" w:color="auto"/>
        <w:left w:val="none" w:sz="0" w:space="0" w:color="auto"/>
        <w:bottom w:val="none" w:sz="0" w:space="0" w:color="auto"/>
        <w:right w:val="none" w:sz="0" w:space="0" w:color="auto"/>
      </w:divBdr>
    </w:div>
    <w:div w:id="1502162912">
      <w:bodyDiv w:val="1"/>
      <w:marLeft w:val="0"/>
      <w:marRight w:val="0"/>
      <w:marTop w:val="0"/>
      <w:marBottom w:val="0"/>
      <w:divBdr>
        <w:top w:val="none" w:sz="0" w:space="0" w:color="auto"/>
        <w:left w:val="none" w:sz="0" w:space="0" w:color="auto"/>
        <w:bottom w:val="none" w:sz="0" w:space="0" w:color="auto"/>
        <w:right w:val="none" w:sz="0" w:space="0" w:color="auto"/>
      </w:divBdr>
      <w:divsChild>
        <w:div w:id="2123258065">
          <w:marLeft w:val="0"/>
          <w:marRight w:val="0"/>
          <w:marTop w:val="0"/>
          <w:marBottom w:val="225"/>
          <w:divBdr>
            <w:top w:val="none" w:sz="0" w:space="0" w:color="auto"/>
            <w:left w:val="none" w:sz="0" w:space="0" w:color="auto"/>
            <w:bottom w:val="none" w:sz="0" w:space="0" w:color="auto"/>
            <w:right w:val="none" w:sz="0" w:space="0" w:color="auto"/>
          </w:divBdr>
        </w:div>
      </w:divsChild>
    </w:div>
    <w:div w:id="1509368358">
      <w:bodyDiv w:val="1"/>
      <w:marLeft w:val="0"/>
      <w:marRight w:val="0"/>
      <w:marTop w:val="0"/>
      <w:marBottom w:val="0"/>
      <w:divBdr>
        <w:top w:val="none" w:sz="0" w:space="0" w:color="auto"/>
        <w:left w:val="none" w:sz="0" w:space="0" w:color="auto"/>
        <w:bottom w:val="none" w:sz="0" w:space="0" w:color="auto"/>
        <w:right w:val="none" w:sz="0" w:space="0" w:color="auto"/>
      </w:divBdr>
      <w:divsChild>
        <w:div w:id="1969819826">
          <w:marLeft w:val="0"/>
          <w:marRight w:val="0"/>
          <w:marTop w:val="0"/>
          <w:marBottom w:val="225"/>
          <w:divBdr>
            <w:top w:val="none" w:sz="0" w:space="0" w:color="auto"/>
            <w:left w:val="none" w:sz="0" w:space="0" w:color="auto"/>
            <w:bottom w:val="none" w:sz="0" w:space="0" w:color="auto"/>
            <w:right w:val="none" w:sz="0" w:space="0" w:color="auto"/>
          </w:divBdr>
        </w:div>
      </w:divsChild>
    </w:div>
    <w:div w:id="1512184808">
      <w:bodyDiv w:val="1"/>
      <w:marLeft w:val="0"/>
      <w:marRight w:val="0"/>
      <w:marTop w:val="0"/>
      <w:marBottom w:val="0"/>
      <w:divBdr>
        <w:top w:val="none" w:sz="0" w:space="0" w:color="auto"/>
        <w:left w:val="none" w:sz="0" w:space="0" w:color="auto"/>
        <w:bottom w:val="none" w:sz="0" w:space="0" w:color="auto"/>
        <w:right w:val="none" w:sz="0" w:space="0" w:color="auto"/>
      </w:divBdr>
    </w:div>
    <w:div w:id="1595746336">
      <w:bodyDiv w:val="1"/>
      <w:marLeft w:val="0"/>
      <w:marRight w:val="0"/>
      <w:marTop w:val="0"/>
      <w:marBottom w:val="0"/>
      <w:divBdr>
        <w:top w:val="none" w:sz="0" w:space="0" w:color="auto"/>
        <w:left w:val="none" w:sz="0" w:space="0" w:color="auto"/>
        <w:bottom w:val="none" w:sz="0" w:space="0" w:color="auto"/>
        <w:right w:val="none" w:sz="0" w:space="0" w:color="auto"/>
      </w:divBdr>
    </w:div>
    <w:div w:id="1657219512">
      <w:bodyDiv w:val="1"/>
      <w:marLeft w:val="0"/>
      <w:marRight w:val="0"/>
      <w:marTop w:val="0"/>
      <w:marBottom w:val="0"/>
      <w:divBdr>
        <w:top w:val="none" w:sz="0" w:space="0" w:color="auto"/>
        <w:left w:val="none" w:sz="0" w:space="0" w:color="auto"/>
        <w:bottom w:val="none" w:sz="0" w:space="0" w:color="auto"/>
        <w:right w:val="none" w:sz="0" w:space="0" w:color="auto"/>
      </w:divBdr>
    </w:div>
    <w:div w:id="1825393251">
      <w:bodyDiv w:val="1"/>
      <w:marLeft w:val="0"/>
      <w:marRight w:val="0"/>
      <w:marTop w:val="0"/>
      <w:marBottom w:val="0"/>
      <w:divBdr>
        <w:top w:val="none" w:sz="0" w:space="0" w:color="auto"/>
        <w:left w:val="none" w:sz="0" w:space="0" w:color="auto"/>
        <w:bottom w:val="none" w:sz="0" w:space="0" w:color="auto"/>
        <w:right w:val="none" w:sz="0" w:space="0" w:color="auto"/>
      </w:divBdr>
    </w:div>
    <w:div w:id="1843548169">
      <w:bodyDiv w:val="1"/>
      <w:marLeft w:val="0"/>
      <w:marRight w:val="0"/>
      <w:marTop w:val="0"/>
      <w:marBottom w:val="0"/>
      <w:divBdr>
        <w:top w:val="none" w:sz="0" w:space="0" w:color="auto"/>
        <w:left w:val="none" w:sz="0" w:space="0" w:color="auto"/>
        <w:bottom w:val="none" w:sz="0" w:space="0" w:color="auto"/>
        <w:right w:val="none" w:sz="0" w:space="0" w:color="auto"/>
      </w:divBdr>
    </w:div>
    <w:div w:id="1847480376">
      <w:bodyDiv w:val="1"/>
      <w:marLeft w:val="0"/>
      <w:marRight w:val="0"/>
      <w:marTop w:val="0"/>
      <w:marBottom w:val="0"/>
      <w:divBdr>
        <w:top w:val="none" w:sz="0" w:space="0" w:color="auto"/>
        <w:left w:val="none" w:sz="0" w:space="0" w:color="auto"/>
        <w:bottom w:val="none" w:sz="0" w:space="0" w:color="auto"/>
        <w:right w:val="none" w:sz="0" w:space="0" w:color="auto"/>
      </w:divBdr>
    </w:div>
    <w:div w:id="19015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sk/narodny-standard-financnej-gramotnosti-verzia-12"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nbs.sk/_img/Documents/_TS/191107/NBS_StrategiaFinGram_2019.pdf" TargetMode="Externa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3" Type="http://schemas.openxmlformats.org/officeDocument/2006/relationships/hyperlink" Target="https://www.slsp.sk/sk/nadacia/finq" TargetMode="External"/><Relationship Id="rId2" Type="http://schemas.openxmlformats.org/officeDocument/2006/relationships/hyperlink" Target="http://www.nucem.sk" TargetMode="External"/><Relationship Id="rId1" Type="http://schemas.openxmlformats.org/officeDocument/2006/relationships/hyperlink" Target="http://www.nucem.s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SCCF_new\PROJ%20Financna%20Gramotnos&#357;\____KolacoveGRAFY\copy_KolacoveGrafy_FG_v1.2_Tema12345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cuments\SCCF_new\PROJ%20Financna%20Gramotnos&#357;\____KolacoveGRAFY\copy_KolacoveGrafy_FG_v1.2_Tema12345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cuments\SCCF_new\PROJ%20Financna%20Gramotnos&#357;\____KolacoveGRAFY\copy_KolacoveGrafy_FG_v1.2_Tema12345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cuments\SCCF_new\PROJ%20Financna%20Gramotnos&#357;\____KolacoveGRAFY\copy_KolacoveGrafy_FG_v1.2_Tema12345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ocuments\SCCF_new\PROJ%20Financna%20Gramotnos&#357;\____KolacoveGRAFY\copy_KolacoveGrafy_FG_v1.2_Tema12345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ocuments\SCCF_new\PROJ%20Financna%20Gramotnos&#357;\____KolacoveGRAFY\copy_KolacoveGrafy_FG_v1.2_Tema123456.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k-SK" sz="1400"/>
              <a:t>TÉMA: </a:t>
            </a:r>
            <a:r>
              <a:rPr lang="en-US" sz="1400"/>
              <a:t>Finančná zodpovednosť spotrebiteľov</a:t>
            </a:r>
          </a:p>
        </c:rich>
      </c:tx>
      <c:layout>
        <c:manualLayout>
          <c:xMode val="edge"/>
          <c:yMode val="edge"/>
          <c:x val="9.5379049599805699E-2"/>
          <c:y val="3.020891752441779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k-SK"/>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462302612620117E-3"/>
          <c:y val="7.999409966553267E-2"/>
          <c:w val="0.70900844449085221"/>
          <c:h val="0.89904260620714582"/>
        </c:manualLayout>
      </c:layout>
      <c:pie3DChart>
        <c:varyColors val="1"/>
        <c:ser>
          <c:idx val="0"/>
          <c:order val="0"/>
          <c:tx>
            <c:strRef>
              <c:f>Téma1!$D$2</c:f>
              <c:strCache>
                <c:ptCount val="1"/>
                <c:pt idx="0">
                  <c:v>Finančná zodpovednosť spotrebiteľov</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dPt>
          <c:dPt>
            <c:idx val="11"/>
            <c:bubble3D val="0"/>
            <c:spPr>
              <a:solidFill>
                <a:schemeClr val="accent6">
                  <a:lumMod val="60000"/>
                </a:schemeClr>
              </a:solidFill>
              <a:ln>
                <a:noFill/>
              </a:ln>
              <a:effectLst>
                <a:outerShdw blurRad="254000" sx="102000" sy="102000" algn="ctr" rotWithShape="0">
                  <a:prstClr val="black">
                    <a:alpha val="20000"/>
                  </a:prstClr>
                </a:outerShdw>
              </a:effectLst>
              <a:sp3d/>
            </c:spPr>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a:sp3d/>
            </c:spPr>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a:sp3d/>
            </c:spPr>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a:sp3d/>
            </c:spPr>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a:sp3d/>
            </c:spPr>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a:sp3d/>
            </c:spPr>
          </c:dPt>
          <c:dPt>
            <c:idx val="17"/>
            <c:bubble3D val="0"/>
            <c:spPr>
              <a:solidFill>
                <a:schemeClr val="accent6">
                  <a:lumMod val="80000"/>
                  <a:lumOff val="20000"/>
                </a:schemeClr>
              </a:solidFill>
              <a:ln>
                <a:noFill/>
              </a:ln>
              <a:effectLst>
                <a:outerShdw blurRad="254000" sx="102000" sy="102000" algn="ctr" rotWithShape="0">
                  <a:prstClr val="black">
                    <a:alpha val="20000"/>
                  </a:prstClr>
                </a:outerShdw>
              </a:effectLst>
              <a:sp3d/>
            </c:spPr>
          </c:dPt>
          <c:dPt>
            <c:idx val="18"/>
            <c:bubble3D val="0"/>
            <c:spPr>
              <a:solidFill>
                <a:schemeClr val="accent1">
                  <a:lumMod val="80000"/>
                </a:schemeClr>
              </a:solidFill>
              <a:ln>
                <a:noFill/>
              </a:ln>
              <a:effectLst>
                <a:outerShdw blurRad="254000" sx="102000" sy="102000" algn="ctr" rotWithShape="0">
                  <a:prstClr val="black">
                    <a:alpha val="20000"/>
                  </a:prstClr>
                </a:outerShdw>
              </a:effectLst>
              <a:sp3d/>
            </c:spPr>
          </c:dPt>
          <c:dLbls>
            <c:dLbl>
              <c:idx val="7"/>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Téma1!$C$3:$C$21</c:f>
              <c:strCache>
                <c:ptCount val="19"/>
                <c:pt idx="0">
                  <c:v>Nadácia pre deti Slovenska</c:v>
                </c:pt>
                <c:pt idx="1">
                  <c:v>Nadácia Slovenskej sporiteľne</c:v>
                </c:pt>
                <c:pt idx="2">
                  <c:v>Slovenská banková asociácia</c:v>
                </c:pt>
                <c:pt idx="3">
                  <c:v>OVB Allfinanz Slovensko a. s. </c:v>
                </c:pt>
                <c:pt idx="4">
                  <c:v>Minist. financií SR.-Odb.ochrany fin.spotreb.</c:v>
                </c:pt>
                <c:pt idx="5">
                  <c:v>NBS-odbor ochrany slovenských spotrebiteľ.</c:v>
                </c:pt>
                <c:pt idx="6">
                  <c:v>Metodicko-pedagogické centrum</c:v>
                </c:pt>
                <c:pt idx="7">
                  <c:v>Finančné riaditeľstvo SR</c:v>
                </c:pt>
                <c:pt idx="8">
                  <c:v>CKÚ OLAF ÚV SR</c:v>
                </c:pt>
                <c:pt idx="9">
                  <c:v>Odbor prevencie korupcie ÚV SR</c:v>
                </c:pt>
                <c:pt idx="10">
                  <c:v>Štátna školská inšpekcia</c:v>
                </c:pt>
                <c:pt idx="11">
                  <c:v>Ministerstvo hospodárstva SR </c:v>
                </c:pt>
                <c:pt idx="12">
                  <c:v>JA Slovensko</c:v>
                </c:pt>
                <c:pt idx="13">
                  <c:v> Úrad splnomoc. vlády SR pre róm. komunity</c:v>
                </c:pt>
                <c:pt idx="14">
                  <c:v>NÚCEM</c:v>
                </c:pt>
                <c:pt idx="15">
                  <c:v>SLASPO - Slovenská asociácia poisťovní</c:v>
                </c:pt>
                <c:pt idx="16">
                  <c:v>ŠIOV - FG a SCCF</c:v>
                </c:pt>
                <c:pt idx="17">
                  <c:v>EUBA - Ekonomická Univerzita</c:v>
                </c:pt>
                <c:pt idx="18">
                  <c:v>ŠPÚ - Štátny pedagogický ústav</c:v>
                </c:pt>
              </c:strCache>
            </c:strRef>
          </c:cat>
          <c:val>
            <c:numRef>
              <c:f>Téma1!$D$3:$D$21</c:f>
              <c:numCache>
                <c:formatCode>0%</c:formatCode>
                <c:ptCount val="19"/>
                <c:pt idx="0">
                  <c:v>0.66666666666666663</c:v>
                </c:pt>
                <c:pt idx="1">
                  <c:v>0.16666666666666666</c:v>
                </c:pt>
                <c:pt idx="2">
                  <c:v>0.16666666666666666</c:v>
                </c:pt>
                <c:pt idx="3">
                  <c:v>0.5</c:v>
                </c:pt>
                <c:pt idx="4">
                  <c:v>0.5</c:v>
                </c:pt>
                <c:pt idx="5">
                  <c:v>0.41666666666666669</c:v>
                </c:pt>
                <c:pt idx="6">
                  <c:v>0.5</c:v>
                </c:pt>
                <c:pt idx="7">
                  <c:v>0</c:v>
                </c:pt>
                <c:pt idx="8">
                  <c:v>0.25</c:v>
                </c:pt>
                <c:pt idx="9">
                  <c:v>0.16666666666666666</c:v>
                </c:pt>
                <c:pt idx="10">
                  <c:v>0</c:v>
                </c:pt>
                <c:pt idx="11">
                  <c:v>8.3333333333333329E-2</c:v>
                </c:pt>
                <c:pt idx="12">
                  <c:v>0.91666666666666663</c:v>
                </c:pt>
                <c:pt idx="13">
                  <c:v>0</c:v>
                </c:pt>
                <c:pt idx="14">
                  <c:v>0</c:v>
                </c:pt>
                <c:pt idx="15">
                  <c:v>0</c:v>
                </c:pt>
                <c:pt idx="16">
                  <c:v>0.25</c:v>
                </c:pt>
                <c:pt idx="17">
                  <c:v>0.33333333333333331</c:v>
                </c:pt>
                <c:pt idx="18">
                  <c:v>0.66666666666666663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017535303060719"/>
          <c:y val="3.810067271340823E-2"/>
          <c:w val="0.2982464696939281"/>
          <c:h val="0.9618993272865917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k-SK" sz="1400"/>
              <a:t>TÉMA: </a:t>
            </a:r>
            <a:r>
              <a:rPr lang="en-US" sz="1400"/>
              <a:t>Plánovanie, príjem a práca</a:t>
            </a:r>
          </a:p>
        </c:rich>
      </c:tx>
      <c:layout>
        <c:manualLayout>
          <c:xMode val="edge"/>
          <c:yMode val="edge"/>
          <c:x val="0.16569464598280836"/>
          <c:y val="2.513417008982914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k-SK"/>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3487413597765164E-2"/>
          <c:y val="0.12306691307549149"/>
          <c:w val="0.70880992642746221"/>
          <c:h val="0.85672054122744412"/>
        </c:manualLayout>
      </c:layout>
      <c:pie3DChart>
        <c:varyColors val="1"/>
        <c:ser>
          <c:idx val="0"/>
          <c:order val="0"/>
          <c:tx>
            <c:strRef>
              <c:f>Téma2!$E$2</c:f>
              <c:strCache>
                <c:ptCount val="1"/>
                <c:pt idx="0">
                  <c:v>Plánovanie, príjem a práca</c:v>
                </c:pt>
              </c:strCache>
            </c:strRef>
          </c:tx>
          <c:spPr>
            <a:ln>
              <a:solidFill>
                <a:srgbClr val="7030A0"/>
              </a:solidFill>
            </a:ln>
            <a:effectLst>
              <a:outerShdw blurRad="254000" dist="127000" sx="102000" sy="102000" algn="ctr" rotWithShape="0">
                <a:prstClr val="black">
                  <a:alpha val="24000"/>
                </a:prstClr>
              </a:outerShdw>
            </a:effectLst>
          </c:spPr>
          <c:dPt>
            <c:idx val="0"/>
            <c:bubble3D val="0"/>
            <c:spPr>
              <a:solidFill>
                <a:schemeClr val="accent1"/>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1"/>
            <c:bubble3D val="0"/>
            <c:spPr>
              <a:solidFill>
                <a:schemeClr val="accent2"/>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2"/>
            <c:bubble3D val="0"/>
            <c:spPr>
              <a:solidFill>
                <a:schemeClr val="accent3"/>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3"/>
            <c:bubble3D val="0"/>
            <c:spPr>
              <a:solidFill>
                <a:schemeClr val="accent4"/>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4"/>
            <c:bubble3D val="0"/>
            <c:spPr>
              <a:solidFill>
                <a:schemeClr val="accent5"/>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5"/>
            <c:bubble3D val="0"/>
            <c:spPr>
              <a:solidFill>
                <a:schemeClr val="accent6"/>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6"/>
            <c:bubble3D val="0"/>
            <c:spPr>
              <a:solidFill>
                <a:schemeClr val="accent1">
                  <a:lumMod val="6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7"/>
            <c:bubble3D val="0"/>
            <c:spPr>
              <a:solidFill>
                <a:schemeClr val="accent2">
                  <a:lumMod val="6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8"/>
            <c:bubble3D val="0"/>
            <c:spPr>
              <a:solidFill>
                <a:schemeClr val="accent3">
                  <a:lumMod val="6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9"/>
            <c:bubble3D val="0"/>
            <c:spPr>
              <a:solidFill>
                <a:schemeClr val="accent4">
                  <a:lumMod val="6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10"/>
            <c:bubble3D val="0"/>
            <c:spPr>
              <a:solidFill>
                <a:schemeClr val="accent5">
                  <a:lumMod val="6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11"/>
            <c:bubble3D val="0"/>
            <c:spPr>
              <a:solidFill>
                <a:schemeClr val="accent6">
                  <a:lumMod val="6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12"/>
            <c:bubble3D val="0"/>
            <c:spPr>
              <a:solidFill>
                <a:schemeClr val="accent1">
                  <a:lumMod val="80000"/>
                  <a:lumOff val="2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13"/>
            <c:bubble3D val="0"/>
            <c:spPr>
              <a:solidFill>
                <a:schemeClr val="accent2">
                  <a:lumMod val="80000"/>
                  <a:lumOff val="2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14"/>
            <c:bubble3D val="0"/>
            <c:spPr>
              <a:solidFill>
                <a:schemeClr val="accent3">
                  <a:lumMod val="80000"/>
                  <a:lumOff val="2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15"/>
            <c:bubble3D val="0"/>
            <c:spPr>
              <a:solidFill>
                <a:schemeClr val="accent4">
                  <a:lumMod val="80000"/>
                  <a:lumOff val="2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16"/>
            <c:bubble3D val="0"/>
            <c:spPr>
              <a:solidFill>
                <a:schemeClr val="accent5">
                  <a:lumMod val="80000"/>
                  <a:lumOff val="2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17"/>
            <c:bubble3D val="0"/>
            <c:spPr>
              <a:solidFill>
                <a:schemeClr val="accent6">
                  <a:lumMod val="80000"/>
                  <a:lumOff val="2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Pt>
            <c:idx val="18"/>
            <c:bubble3D val="0"/>
            <c:spPr>
              <a:solidFill>
                <a:schemeClr val="accent1">
                  <a:lumMod val="80000"/>
                </a:schemeClr>
              </a:solidFill>
              <a:ln>
                <a:solidFill>
                  <a:srgbClr val="7030A0"/>
                </a:solidFill>
              </a:ln>
              <a:effectLst>
                <a:outerShdw blurRad="254000" dist="127000" sx="102000" sy="102000" algn="ctr" rotWithShape="0">
                  <a:prstClr val="black">
                    <a:alpha val="24000"/>
                  </a:prstClr>
                </a:outerShdw>
              </a:effectLst>
              <a:sp3d>
                <a:contourClr>
                  <a:srgbClr val="7030A0"/>
                </a:contourClr>
              </a:sp3d>
            </c:spPr>
          </c:dPt>
          <c:dLbls>
            <c:dLbl>
              <c:idx val="4"/>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Téma2!$D$3:$D$21</c:f>
              <c:strCache>
                <c:ptCount val="19"/>
                <c:pt idx="0">
                  <c:v>Nadácia pre deti Slovenska</c:v>
                </c:pt>
                <c:pt idx="1">
                  <c:v>Nadácia Slovenskej sporiteľne</c:v>
                </c:pt>
                <c:pt idx="2">
                  <c:v>Slovenská banková asociácia</c:v>
                </c:pt>
                <c:pt idx="3">
                  <c:v>OVB Allfinanz Slovensko a. s. </c:v>
                </c:pt>
                <c:pt idx="4">
                  <c:v>Minist. financií SR.-Odb.ochrany fin.spotreb.</c:v>
                </c:pt>
                <c:pt idx="5">
                  <c:v>NBS-odbor ochrany slovenských spotrebiteľ.</c:v>
                </c:pt>
                <c:pt idx="6">
                  <c:v>Metodicko-pedagogické centrum</c:v>
                </c:pt>
                <c:pt idx="7">
                  <c:v>Finančné riaditeľstvo SR</c:v>
                </c:pt>
                <c:pt idx="8">
                  <c:v>CKÚ OLAF ÚV SR</c:v>
                </c:pt>
                <c:pt idx="9">
                  <c:v>Odbor prevencie korupcie ÚV SR</c:v>
                </c:pt>
                <c:pt idx="10">
                  <c:v>Štátna školská inšpekcia</c:v>
                </c:pt>
                <c:pt idx="11">
                  <c:v>Ministerstvo hospodárstva SR </c:v>
                </c:pt>
                <c:pt idx="12">
                  <c:v>JA Slovensko</c:v>
                </c:pt>
                <c:pt idx="13">
                  <c:v> Úrad splnomoc. vlády SR pre róm. komunity</c:v>
                </c:pt>
                <c:pt idx="14">
                  <c:v>NÚCEM</c:v>
                </c:pt>
                <c:pt idx="15">
                  <c:v>SLASPO - Slovenská asociácia poisťovní</c:v>
                </c:pt>
                <c:pt idx="16">
                  <c:v>ŠIOV - FG a SCCF</c:v>
                </c:pt>
                <c:pt idx="17">
                  <c:v>EUBA - Ekonomická Univerzita</c:v>
                </c:pt>
                <c:pt idx="18">
                  <c:v>ŠPÚ - Štátny pedagogický ústav</c:v>
                </c:pt>
              </c:strCache>
            </c:strRef>
          </c:cat>
          <c:val>
            <c:numRef>
              <c:f>Téma2!$E$3:$E$21</c:f>
              <c:numCache>
                <c:formatCode>0%</c:formatCode>
                <c:ptCount val="19"/>
                <c:pt idx="0">
                  <c:v>1</c:v>
                </c:pt>
                <c:pt idx="1">
                  <c:v>0.16666666666666666</c:v>
                </c:pt>
                <c:pt idx="2">
                  <c:v>0.25</c:v>
                </c:pt>
                <c:pt idx="3">
                  <c:v>0.75</c:v>
                </c:pt>
                <c:pt idx="4">
                  <c:v>0</c:v>
                </c:pt>
                <c:pt idx="5">
                  <c:v>0.25</c:v>
                </c:pt>
                <c:pt idx="6">
                  <c:v>0.5</c:v>
                </c:pt>
                <c:pt idx="7">
                  <c:v>0.25</c:v>
                </c:pt>
                <c:pt idx="8">
                  <c:v>0.25</c:v>
                </c:pt>
                <c:pt idx="9">
                  <c:v>0</c:v>
                </c:pt>
                <c:pt idx="10">
                  <c:v>0</c:v>
                </c:pt>
                <c:pt idx="11">
                  <c:v>0</c:v>
                </c:pt>
                <c:pt idx="12">
                  <c:v>0.83333333333333337</c:v>
                </c:pt>
                <c:pt idx="13">
                  <c:v>0</c:v>
                </c:pt>
                <c:pt idx="14">
                  <c:v>0</c:v>
                </c:pt>
                <c:pt idx="15">
                  <c:v>0</c:v>
                </c:pt>
                <c:pt idx="16">
                  <c:v>0.33333333333333331</c:v>
                </c:pt>
                <c:pt idx="17">
                  <c:v>0.33333333333333331</c:v>
                </c:pt>
                <c:pt idx="18">
                  <c:v>0.66666666666666663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1006241187201347"/>
          <c:y val="4.8658075609054725E-2"/>
          <c:w val="0.28993758812798659"/>
          <c:h val="0.9376287876417501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k-SK" sz="1400"/>
              <a:t>TÉMA: </a:t>
            </a:r>
            <a:r>
              <a:rPr lang="en-US" sz="1400"/>
              <a:t>Rozhodovanie a hospodárenie spotrebiteľov</a:t>
            </a:r>
          </a:p>
        </c:rich>
      </c:tx>
      <c:layout>
        <c:manualLayout>
          <c:xMode val="edge"/>
          <c:yMode val="edge"/>
          <c:x val="0.10763877310628829"/>
          <c:y val="1.979040960387702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k-SK"/>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9.1198476179005852E-2"/>
          <c:w val="0.72038079282541123"/>
          <c:h val="0.88490200513027029"/>
        </c:manualLayout>
      </c:layout>
      <c:pie3DChart>
        <c:varyColors val="1"/>
        <c:ser>
          <c:idx val="0"/>
          <c:order val="0"/>
          <c:tx>
            <c:strRef>
              <c:f>Téma3!$F$2</c:f>
              <c:strCache>
                <c:ptCount val="1"/>
                <c:pt idx="0">
                  <c:v>Rozhodovanie a hospodárenie spotrebiteľov</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dPt>
          <c:dPt>
            <c:idx val="11"/>
            <c:bubble3D val="0"/>
            <c:spPr>
              <a:solidFill>
                <a:schemeClr val="accent6">
                  <a:lumMod val="60000"/>
                </a:schemeClr>
              </a:solidFill>
              <a:ln>
                <a:noFill/>
              </a:ln>
              <a:effectLst>
                <a:outerShdw blurRad="254000" sx="102000" sy="102000" algn="ctr" rotWithShape="0">
                  <a:prstClr val="black">
                    <a:alpha val="20000"/>
                  </a:prstClr>
                </a:outerShdw>
              </a:effectLst>
              <a:sp3d/>
            </c:spPr>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a:sp3d/>
            </c:spPr>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a:sp3d/>
            </c:spPr>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a:sp3d/>
            </c:spPr>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a:sp3d/>
            </c:spPr>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a:sp3d/>
            </c:spPr>
          </c:dPt>
          <c:dPt>
            <c:idx val="17"/>
            <c:bubble3D val="0"/>
            <c:spPr>
              <a:solidFill>
                <a:schemeClr val="accent6">
                  <a:lumMod val="80000"/>
                  <a:lumOff val="20000"/>
                </a:schemeClr>
              </a:solidFill>
              <a:ln>
                <a:noFill/>
              </a:ln>
              <a:effectLst>
                <a:outerShdw blurRad="254000" sx="102000" sy="102000" algn="ctr" rotWithShape="0">
                  <a:prstClr val="black">
                    <a:alpha val="20000"/>
                  </a:prstClr>
                </a:outerShdw>
              </a:effectLst>
              <a:sp3d/>
            </c:spPr>
          </c:dPt>
          <c:dPt>
            <c:idx val="18"/>
            <c:bubble3D val="0"/>
            <c:spPr>
              <a:solidFill>
                <a:schemeClr val="accent1">
                  <a:lumMod val="80000"/>
                </a:schemeClr>
              </a:solidFill>
              <a:ln>
                <a:noFill/>
              </a:ln>
              <a:effectLst>
                <a:outerShdw blurRad="254000" sx="102000" sy="102000" algn="ctr" rotWithShape="0">
                  <a:prstClr val="black">
                    <a:alpha val="20000"/>
                  </a:prstClr>
                </a:outerShdw>
              </a:effectLst>
              <a:sp3d/>
            </c:spPr>
          </c:dPt>
          <c:dLbls>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layout>
                <c:manualLayout>
                  <c:x val="3.0640406558323764E-2"/>
                  <c:y val="-0.12376210083395886"/>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Téma3!$E$3:$E$21</c:f>
              <c:strCache>
                <c:ptCount val="19"/>
                <c:pt idx="0">
                  <c:v>Nadácia pre deti Slovenska</c:v>
                </c:pt>
                <c:pt idx="1">
                  <c:v>Nadácia Slovenskej sporiteľne</c:v>
                </c:pt>
                <c:pt idx="2">
                  <c:v>Slovenská banková asociácia</c:v>
                </c:pt>
                <c:pt idx="3">
                  <c:v>OVB Allfinanz Slovensko a. s. </c:v>
                </c:pt>
                <c:pt idx="4">
                  <c:v>Minist. financií SR.-Odb.ochrany fin.spotreb.</c:v>
                </c:pt>
                <c:pt idx="5">
                  <c:v>NBS-odbor ochrany slovenských spotrebiteľ.</c:v>
                </c:pt>
                <c:pt idx="6">
                  <c:v>Metodicko-pedagogické centrum</c:v>
                </c:pt>
                <c:pt idx="7">
                  <c:v>Finančné riaditeľstvo SR</c:v>
                </c:pt>
                <c:pt idx="8">
                  <c:v>CKÚ OLAF ÚV SR</c:v>
                </c:pt>
                <c:pt idx="9">
                  <c:v>Odbor prevencie korupcie ÚV SR</c:v>
                </c:pt>
                <c:pt idx="10">
                  <c:v>Štátna školská inšpekcia</c:v>
                </c:pt>
                <c:pt idx="11">
                  <c:v>Ministerstvo hospodárstva SR </c:v>
                </c:pt>
                <c:pt idx="12">
                  <c:v>JA Slovensko</c:v>
                </c:pt>
                <c:pt idx="13">
                  <c:v> Úrad splnomoc. vlády SR pre róm. komunity</c:v>
                </c:pt>
                <c:pt idx="14">
                  <c:v>NÚCEM</c:v>
                </c:pt>
                <c:pt idx="15">
                  <c:v>SLASPO - Slovenská asociácia poisťovní</c:v>
                </c:pt>
                <c:pt idx="16">
                  <c:v>ŠIOV - FG a SCCF</c:v>
                </c:pt>
                <c:pt idx="17">
                  <c:v>EUBA - Ekonomická Univerzita</c:v>
                </c:pt>
                <c:pt idx="18">
                  <c:v>ŠPÚ - Štátny pedagogický ústav</c:v>
                </c:pt>
              </c:strCache>
            </c:strRef>
          </c:cat>
          <c:val>
            <c:numRef>
              <c:f>Téma3!$F$3:$F$21</c:f>
              <c:numCache>
                <c:formatCode>0%</c:formatCode>
                <c:ptCount val="19"/>
                <c:pt idx="0">
                  <c:v>1</c:v>
                </c:pt>
                <c:pt idx="1">
                  <c:v>0.5</c:v>
                </c:pt>
                <c:pt idx="2">
                  <c:v>0.33333333333333331</c:v>
                </c:pt>
                <c:pt idx="3">
                  <c:v>0.83333333333333337</c:v>
                </c:pt>
                <c:pt idx="4">
                  <c:v>0.16666666666666666</c:v>
                </c:pt>
                <c:pt idx="5">
                  <c:v>0.66666666666666663</c:v>
                </c:pt>
                <c:pt idx="6">
                  <c:v>0.33333333333333331</c:v>
                </c:pt>
                <c:pt idx="7">
                  <c:v>0</c:v>
                </c:pt>
                <c:pt idx="8">
                  <c:v>0</c:v>
                </c:pt>
                <c:pt idx="9">
                  <c:v>0</c:v>
                </c:pt>
                <c:pt idx="10">
                  <c:v>0</c:v>
                </c:pt>
                <c:pt idx="11">
                  <c:v>8.3333333333333329E-2</c:v>
                </c:pt>
                <c:pt idx="12">
                  <c:v>1</c:v>
                </c:pt>
                <c:pt idx="13">
                  <c:v>0</c:v>
                </c:pt>
                <c:pt idx="14">
                  <c:v>0</c:v>
                </c:pt>
                <c:pt idx="15">
                  <c:v>0</c:v>
                </c:pt>
                <c:pt idx="16">
                  <c:v>0.25</c:v>
                </c:pt>
                <c:pt idx="17">
                  <c:v>0.33333333333333331</c:v>
                </c:pt>
                <c:pt idx="18">
                  <c:v>0.66666666666666663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4069335463611019"/>
          <c:y val="3.1782254000047215E-2"/>
          <c:w val="0.25118162063961003"/>
          <c:h val="0.9586285132035858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k-SK" sz="1400"/>
              <a:t>TÉMA: </a:t>
            </a:r>
            <a:r>
              <a:rPr lang="en-US" sz="1400"/>
              <a:t>Úver a dlh</a:t>
            </a:r>
          </a:p>
        </c:rich>
      </c:tx>
      <c:layout>
        <c:manualLayout>
          <c:xMode val="edge"/>
          <c:yMode val="edge"/>
          <c:x val="0.21471512293847039"/>
          <c:y val="1.957471260376991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k-SK"/>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550399161925178E-3"/>
          <c:y val="6.8126186995906488E-3"/>
          <c:w val="0.74133338829764084"/>
          <c:h val="0.98877791935892678"/>
        </c:manualLayout>
      </c:layout>
      <c:pie3DChart>
        <c:varyColors val="1"/>
        <c:ser>
          <c:idx val="0"/>
          <c:order val="0"/>
          <c:tx>
            <c:strRef>
              <c:f>Téma4!$G$2</c:f>
              <c:strCache>
                <c:ptCount val="1"/>
                <c:pt idx="0">
                  <c:v>Úver a dlh</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dPt>
          <c:dPt>
            <c:idx val="11"/>
            <c:bubble3D val="0"/>
            <c:spPr>
              <a:solidFill>
                <a:schemeClr val="accent6">
                  <a:lumMod val="60000"/>
                </a:schemeClr>
              </a:solidFill>
              <a:ln>
                <a:noFill/>
              </a:ln>
              <a:effectLst>
                <a:outerShdw blurRad="254000" sx="102000" sy="102000" algn="ctr" rotWithShape="0">
                  <a:prstClr val="black">
                    <a:alpha val="20000"/>
                  </a:prstClr>
                </a:outerShdw>
              </a:effectLst>
              <a:sp3d/>
            </c:spPr>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a:sp3d/>
            </c:spPr>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a:sp3d/>
            </c:spPr>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a:sp3d/>
            </c:spPr>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a:sp3d/>
            </c:spPr>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a:sp3d/>
            </c:spPr>
          </c:dPt>
          <c:dPt>
            <c:idx val="17"/>
            <c:bubble3D val="0"/>
            <c:spPr>
              <a:solidFill>
                <a:schemeClr val="accent6">
                  <a:lumMod val="80000"/>
                  <a:lumOff val="20000"/>
                </a:schemeClr>
              </a:solidFill>
              <a:ln>
                <a:noFill/>
              </a:ln>
              <a:effectLst>
                <a:outerShdw blurRad="254000" sx="102000" sy="102000" algn="ctr" rotWithShape="0">
                  <a:prstClr val="black">
                    <a:alpha val="20000"/>
                  </a:prstClr>
                </a:outerShdw>
              </a:effectLst>
              <a:sp3d/>
            </c:spPr>
          </c:dPt>
          <c:dPt>
            <c:idx val="18"/>
            <c:bubble3D val="0"/>
            <c:spPr>
              <a:solidFill>
                <a:schemeClr val="accent1">
                  <a:lumMod val="80000"/>
                </a:schemeClr>
              </a:solidFill>
              <a:ln>
                <a:noFill/>
              </a:ln>
              <a:effectLst>
                <a:outerShdw blurRad="254000" sx="102000" sy="102000" algn="ctr" rotWithShape="0">
                  <a:prstClr val="black">
                    <a:alpha val="20000"/>
                  </a:prstClr>
                </a:outerShdw>
              </a:effectLst>
              <a:sp3d/>
            </c:spPr>
          </c:dPt>
          <c:dLbls>
            <c:dLbl>
              <c:idx val="3"/>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Téma4!$F$3:$F$21</c:f>
              <c:strCache>
                <c:ptCount val="19"/>
                <c:pt idx="0">
                  <c:v>Nadácia pre deti Slovenska</c:v>
                </c:pt>
                <c:pt idx="1">
                  <c:v>Nadácia Slovenskej sporiteľne</c:v>
                </c:pt>
                <c:pt idx="2">
                  <c:v>Slovenská banková asociácia</c:v>
                </c:pt>
                <c:pt idx="3">
                  <c:v>OVB Allfinanz Slovensko a. s. </c:v>
                </c:pt>
                <c:pt idx="4">
                  <c:v>Minist. financií SR.-Odb.ochrany fin.spotreb.</c:v>
                </c:pt>
                <c:pt idx="5">
                  <c:v>NBS-odbor ochrany slovenských spotrebiteľ.</c:v>
                </c:pt>
                <c:pt idx="6">
                  <c:v>Metodicko-pedagogické centrum</c:v>
                </c:pt>
                <c:pt idx="7">
                  <c:v>Finančné riaditeľstvo SR</c:v>
                </c:pt>
                <c:pt idx="8">
                  <c:v>CKÚ OLAF ÚV SR</c:v>
                </c:pt>
                <c:pt idx="9">
                  <c:v>Odbor prevencie korupcie ÚV SR</c:v>
                </c:pt>
                <c:pt idx="10">
                  <c:v>Štátna školská inšpekcia</c:v>
                </c:pt>
                <c:pt idx="11">
                  <c:v>Ministerstvo hospodárstva SR </c:v>
                </c:pt>
                <c:pt idx="12">
                  <c:v>JA Slovensko</c:v>
                </c:pt>
                <c:pt idx="13">
                  <c:v> Úrad splnomoc. vlády SR pre róm. komunity</c:v>
                </c:pt>
                <c:pt idx="14">
                  <c:v>NÚCEM</c:v>
                </c:pt>
                <c:pt idx="15">
                  <c:v>SLASPO - Slovenská asociácia poisťovní</c:v>
                </c:pt>
                <c:pt idx="16">
                  <c:v>ŠIOV - FG a SCCF</c:v>
                </c:pt>
                <c:pt idx="17">
                  <c:v>EUBA - Ekonomická Univerzita</c:v>
                </c:pt>
                <c:pt idx="18">
                  <c:v>ŠPÚ - Štátny pedagogický ústav</c:v>
                </c:pt>
              </c:strCache>
            </c:strRef>
          </c:cat>
          <c:val>
            <c:numRef>
              <c:f>Téma4!$G$3:$G$21</c:f>
              <c:numCache>
                <c:formatCode>0%</c:formatCode>
                <c:ptCount val="19"/>
                <c:pt idx="0">
                  <c:v>1</c:v>
                </c:pt>
                <c:pt idx="1">
                  <c:v>0.66666666666666663</c:v>
                </c:pt>
                <c:pt idx="2">
                  <c:v>0.33333333333333331</c:v>
                </c:pt>
                <c:pt idx="3">
                  <c:v>0.66666666666666663</c:v>
                </c:pt>
                <c:pt idx="4">
                  <c:v>0.22222222222222221</c:v>
                </c:pt>
                <c:pt idx="5">
                  <c:v>0.33333333333333331</c:v>
                </c:pt>
                <c:pt idx="6">
                  <c:v>0.66666666666666663</c:v>
                </c:pt>
                <c:pt idx="7">
                  <c:v>0</c:v>
                </c:pt>
                <c:pt idx="8">
                  <c:v>0</c:v>
                </c:pt>
                <c:pt idx="9">
                  <c:v>0</c:v>
                </c:pt>
                <c:pt idx="10">
                  <c:v>0</c:v>
                </c:pt>
                <c:pt idx="11">
                  <c:v>0</c:v>
                </c:pt>
                <c:pt idx="12">
                  <c:v>1</c:v>
                </c:pt>
                <c:pt idx="13">
                  <c:v>0</c:v>
                </c:pt>
                <c:pt idx="14">
                  <c:v>0</c:v>
                </c:pt>
                <c:pt idx="15">
                  <c:v>0</c:v>
                </c:pt>
                <c:pt idx="16">
                  <c:v>0.22222222222222221</c:v>
                </c:pt>
                <c:pt idx="17">
                  <c:v>0.33333333333333331</c:v>
                </c:pt>
                <c:pt idx="18">
                  <c:v>0.66666666666666663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4472241865298949"/>
          <c:y val="2.2352326425176296E-2"/>
          <c:w val="0.24736148202676661"/>
          <c:h val="0.9643441185763341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k-SK" sz="1400"/>
              <a:t>TÉMA: </a:t>
            </a:r>
            <a:r>
              <a:rPr lang="en-US" sz="1400"/>
              <a:t>Sporenie a investovanie</a:t>
            </a:r>
          </a:p>
        </c:rich>
      </c:tx>
      <c:layout>
        <c:manualLayout>
          <c:xMode val="edge"/>
          <c:yMode val="edge"/>
          <c:x val="0.18162548221116698"/>
          <c:y val="2.85084469930981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k-SK"/>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485799198605421E-2"/>
          <c:y val="8.9822127433551967E-3"/>
          <c:w val="0.69195258793805292"/>
          <c:h val="0.98882828449284621"/>
        </c:manualLayout>
      </c:layout>
      <c:pie3DChart>
        <c:varyColors val="1"/>
        <c:ser>
          <c:idx val="0"/>
          <c:order val="0"/>
          <c:tx>
            <c:strRef>
              <c:f>Téma5!$H$2</c:f>
              <c:strCache>
                <c:ptCount val="1"/>
                <c:pt idx="0">
                  <c:v>Sporenie a investovanie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dPt>
          <c:dPt>
            <c:idx val="11"/>
            <c:bubble3D val="0"/>
            <c:spPr>
              <a:solidFill>
                <a:schemeClr val="accent6">
                  <a:lumMod val="60000"/>
                </a:schemeClr>
              </a:solidFill>
              <a:ln>
                <a:noFill/>
              </a:ln>
              <a:effectLst>
                <a:outerShdw blurRad="254000" sx="102000" sy="102000" algn="ctr" rotWithShape="0">
                  <a:prstClr val="black">
                    <a:alpha val="20000"/>
                  </a:prstClr>
                </a:outerShdw>
              </a:effectLst>
              <a:sp3d/>
            </c:spPr>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a:sp3d/>
            </c:spPr>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a:sp3d/>
            </c:spPr>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a:sp3d/>
            </c:spPr>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a:sp3d/>
            </c:spPr>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a:sp3d/>
            </c:spPr>
          </c:dPt>
          <c:dPt>
            <c:idx val="17"/>
            <c:bubble3D val="0"/>
            <c:spPr>
              <a:solidFill>
                <a:schemeClr val="accent6">
                  <a:lumMod val="80000"/>
                  <a:lumOff val="20000"/>
                </a:schemeClr>
              </a:solidFill>
              <a:ln>
                <a:noFill/>
              </a:ln>
              <a:effectLst>
                <a:outerShdw blurRad="254000" sx="102000" sy="102000" algn="ctr" rotWithShape="0">
                  <a:prstClr val="black">
                    <a:alpha val="20000"/>
                  </a:prstClr>
                </a:outerShdw>
              </a:effectLst>
              <a:sp3d/>
            </c:spPr>
          </c:dPt>
          <c:dPt>
            <c:idx val="18"/>
            <c:bubble3D val="0"/>
            <c:spPr>
              <a:solidFill>
                <a:schemeClr val="accent1">
                  <a:lumMod val="80000"/>
                </a:schemeClr>
              </a:solidFill>
              <a:ln>
                <a:noFill/>
              </a:ln>
              <a:effectLst>
                <a:outerShdw blurRad="254000" sx="102000" sy="102000" algn="ctr" rotWithShape="0">
                  <a:prstClr val="black">
                    <a:alpha val="20000"/>
                  </a:prstClr>
                </a:outerShdw>
              </a:effectLst>
              <a:sp3d/>
            </c:spPr>
          </c:dPt>
          <c:dLbls>
            <c:dLbl>
              <c:idx val="4"/>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Téma5!$G$3:$G$21</c:f>
              <c:strCache>
                <c:ptCount val="19"/>
                <c:pt idx="0">
                  <c:v>Nadácia pre deti Slovenska</c:v>
                </c:pt>
                <c:pt idx="1">
                  <c:v>Nadácia Slovenskej sporiteľne</c:v>
                </c:pt>
                <c:pt idx="2">
                  <c:v>Slovenská banková asociácia</c:v>
                </c:pt>
                <c:pt idx="3">
                  <c:v>OVB Allfinanz Slovensko a. s. </c:v>
                </c:pt>
                <c:pt idx="4">
                  <c:v>Minist. financií SR.-Odb.ochrany fin.spotreb.</c:v>
                </c:pt>
                <c:pt idx="5">
                  <c:v>NBS-odbor ochrany slovenských spotrebiteľ.</c:v>
                </c:pt>
                <c:pt idx="6">
                  <c:v>Metodicko-pedagogické centrum</c:v>
                </c:pt>
                <c:pt idx="7">
                  <c:v>Finančné riaditeľstvo SR</c:v>
                </c:pt>
                <c:pt idx="8">
                  <c:v>CKÚ OLAF ÚV SR</c:v>
                </c:pt>
                <c:pt idx="9">
                  <c:v>Odbor prevencie korupcie ÚV SR</c:v>
                </c:pt>
                <c:pt idx="10">
                  <c:v>Štátna školská inšpekcia</c:v>
                </c:pt>
                <c:pt idx="11">
                  <c:v>Ministerstvo hospodárstva SR </c:v>
                </c:pt>
                <c:pt idx="12">
                  <c:v>JA Slovensko</c:v>
                </c:pt>
                <c:pt idx="13">
                  <c:v> Úrad splnomoc. vlády SR pre róm. komunity</c:v>
                </c:pt>
                <c:pt idx="14">
                  <c:v>NÚCEM</c:v>
                </c:pt>
                <c:pt idx="15">
                  <c:v>SLASPO - Slovenská asociácia poisťovní</c:v>
                </c:pt>
                <c:pt idx="16">
                  <c:v>ŠIOV - FG a SCCF</c:v>
                </c:pt>
                <c:pt idx="17">
                  <c:v>EUBA - Ekonomická Univerzita</c:v>
                </c:pt>
                <c:pt idx="18">
                  <c:v>ŠPÚ - Štátny pedagogický ústav</c:v>
                </c:pt>
              </c:strCache>
            </c:strRef>
          </c:cat>
          <c:val>
            <c:numRef>
              <c:f>Téma5!$H$3:$H$21</c:f>
              <c:numCache>
                <c:formatCode>0%</c:formatCode>
                <c:ptCount val="19"/>
                <c:pt idx="0">
                  <c:v>0.83333333333333337</c:v>
                </c:pt>
                <c:pt idx="1">
                  <c:v>0.66666666666666663</c:v>
                </c:pt>
                <c:pt idx="2">
                  <c:v>0.16666666666666666</c:v>
                </c:pt>
                <c:pt idx="3">
                  <c:v>1</c:v>
                </c:pt>
                <c:pt idx="4">
                  <c:v>0</c:v>
                </c:pt>
                <c:pt idx="5">
                  <c:v>0.5</c:v>
                </c:pt>
                <c:pt idx="6">
                  <c:v>0.66666666666666663</c:v>
                </c:pt>
                <c:pt idx="7">
                  <c:v>0</c:v>
                </c:pt>
                <c:pt idx="8">
                  <c:v>0</c:v>
                </c:pt>
                <c:pt idx="9">
                  <c:v>0</c:v>
                </c:pt>
                <c:pt idx="10">
                  <c:v>0</c:v>
                </c:pt>
                <c:pt idx="11">
                  <c:v>0</c:v>
                </c:pt>
                <c:pt idx="12">
                  <c:v>0.83333333333333337</c:v>
                </c:pt>
                <c:pt idx="13">
                  <c:v>0</c:v>
                </c:pt>
                <c:pt idx="14">
                  <c:v>0</c:v>
                </c:pt>
                <c:pt idx="15">
                  <c:v>0</c:v>
                </c:pt>
                <c:pt idx="16">
                  <c:v>0.33333333333333331</c:v>
                </c:pt>
                <c:pt idx="17">
                  <c:v>0.33333333333333331</c:v>
                </c:pt>
                <c:pt idx="18">
                  <c:v>0.66666666666666663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3577526582870811"/>
          <c:y val="3.0344319333930024E-2"/>
          <c:w val="0.25606665266990658"/>
          <c:h val="0.9607210312146038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k-SK" sz="1400"/>
              <a:t>TÉMA: </a:t>
            </a:r>
            <a:r>
              <a:rPr lang="en-US" sz="1400"/>
              <a:t>Riadenie rizika a poistenie</a:t>
            </a:r>
          </a:p>
        </c:rich>
      </c:tx>
      <c:layout>
        <c:manualLayout>
          <c:xMode val="edge"/>
          <c:yMode val="edge"/>
          <c:x val="0.18917127629838185"/>
          <c:y val="2.914272253973371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k-SK"/>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467833364266141E-2"/>
          <c:y val="0"/>
          <c:w val="0.71096684378245734"/>
          <c:h val="1"/>
        </c:manualLayout>
      </c:layout>
      <c:pie3DChart>
        <c:varyColors val="1"/>
        <c:ser>
          <c:idx val="0"/>
          <c:order val="0"/>
          <c:tx>
            <c:strRef>
              <c:f>Téma6!$I$2</c:f>
              <c:strCache>
                <c:ptCount val="1"/>
                <c:pt idx="0">
                  <c:v>Riadenie rizika a poistenie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dPt>
          <c:dPt>
            <c:idx val="11"/>
            <c:bubble3D val="0"/>
            <c:spPr>
              <a:solidFill>
                <a:schemeClr val="accent6">
                  <a:lumMod val="60000"/>
                </a:schemeClr>
              </a:solidFill>
              <a:ln>
                <a:noFill/>
              </a:ln>
              <a:effectLst>
                <a:outerShdw blurRad="254000" sx="102000" sy="102000" algn="ctr" rotWithShape="0">
                  <a:prstClr val="black">
                    <a:alpha val="20000"/>
                  </a:prstClr>
                </a:outerShdw>
              </a:effectLst>
              <a:sp3d/>
            </c:spPr>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a:sp3d/>
            </c:spPr>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a:sp3d/>
            </c:spPr>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a:sp3d/>
            </c:spPr>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a:sp3d/>
            </c:spPr>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a:sp3d/>
            </c:spPr>
          </c:dPt>
          <c:dPt>
            <c:idx val="17"/>
            <c:bubble3D val="0"/>
            <c:spPr>
              <a:solidFill>
                <a:schemeClr val="accent6">
                  <a:lumMod val="80000"/>
                  <a:lumOff val="20000"/>
                </a:schemeClr>
              </a:solidFill>
              <a:ln>
                <a:noFill/>
              </a:ln>
              <a:effectLst>
                <a:outerShdw blurRad="254000" sx="102000" sy="102000" algn="ctr" rotWithShape="0">
                  <a:prstClr val="black">
                    <a:alpha val="20000"/>
                  </a:prstClr>
                </a:outerShdw>
              </a:effectLst>
              <a:sp3d/>
            </c:spPr>
          </c:dPt>
          <c:dPt>
            <c:idx val="18"/>
            <c:bubble3D val="0"/>
            <c:spPr>
              <a:solidFill>
                <a:schemeClr val="accent1">
                  <a:lumMod val="80000"/>
                </a:schemeClr>
              </a:solidFill>
              <a:ln>
                <a:noFill/>
              </a:ln>
              <a:effectLst>
                <a:outerShdw blurRad="254000" sx="102000" sy="102000" algn="ctr" rotWithShape="0">
                  <a:prstClr val="black">
                    <a:alpha val="20000"/>
                  </a:prstClr>
                </a:outerShdw>
              </a:effectLst>
              <a:sp3d/>
            </c:spPr>
          </c:dPt>
          <c:dLbls>
            <c:dLbl>
              <c:idx val="3"/>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k-SK"/>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Téma6!$H$3:$H$21</c:f>
              <c:strCache>
                <c:ptCount val="19"/>
                <c:pt idx="0">
                  <c:v>Nadácia pre deti Slovenska</c:v>
                </c:pt>
                <c:pt idx="1">
                  <c:v>Nadácia Slovenskej sporiteľne</c:v>
                </c:pt>
                <c:pt idx="2">
                  <c:v>Slovenská banková asociácia</c:v>
                </c:pt>
                <c:pt idx="3">
                  <c:v>OVB Allfinanz Slovensko a. s. </c:v>
                </c:pt>
                <c:pt idx="4">
                  <c:v>Minist. financií SR.-Odb.ochrany fin.spotreb.</c:v>
                </c:pt>
                <c:pt idx="5">
                  <c:v>NBS-odbor ochrany slovenských spotrebiteľ.</c:v>
                </c:pt>
                <c:pt idx="6">
                  <c:v>Metodicko-pedagogické centrum</c:v>
                </c:pt>
                <c:pt idx="7">
                  <c:v>Finančné riaditeľstvo SR</c:v>
                </c:pt>
                <c:pt idx="8">
                  <c:v>CKÚ OLAF ÚV SR</c:v>
                </c:pt>
                <c:pt idx="9">
                  <c:v>Odbor prevencie korupcie ÚV SR</c:v>
                </c:pt>
                <c:pt idx="10">
                  <c:v>Štátna školská inšpekcia</c:v>
                </c:pt>
                <c:pt idx="11">
                  <c:v>Ministerstvo hospodárstva SR </c:v>
                </c:pt>
                <c:pt idx="12">
                  <c:v>JA Slovensko</c:v>
                </c:pt>
                <c:pt idx="13">
                  <c:v> Úrad splnomoc. vlády SR pre róm. komunity</c:v>
                </c:pt>
                <c:pt idx="14">
                  <c:v>NÚCEM</c:v>
                </c:pt>
                <c:pt idx="15">
                  <c:v>SLASPO - Slovenská asociácia poisťovní</c:v>
                </c:pt>
                <c:pt idx="16">
                  <c:v>ŠIOV - FG a SCCF</c:v>
                </c:pt>
                <c:pt idx="17">
                  <c:v>EUBA - Ekonomická Univerzita</c:v>
                </c:pt>
                <c:pt idx="18">
                  <c:v>ŠPÚ - Štátny pedagogický ústav</c:v>
                </c:pt>
              </c:strCache>
            </c:strRef>
          </c:cat>
          <c:val>
            <c:numRef>
              <c:f>Téma6!$I$3:$I$21</c:f>
              <c:numCache>
                <c:formatCode>0%</c:formatCode>
                <c:ptCount val="19"/>
                <c:pt idx="0">
                  <c:v>0.44444444444444442</c:v>
                </c:pt>
                <c:pt idx="1">
                  <c:v>0.66666666666666663</c:v>
                </c:pt>
                <c:pt idx="2">
                  <c:v>0.33333333333333331</c:v>
                </c:pt>
                <c:pt idx="3">
                  <c:v>0.88888888888888884</c:v>
                </c:pt>
                <c:pt idx="4">
                  <c:v>0.22222222222222221</c:v>
                </c:pt>
                <c:pt idx="5">
                  <c:v>0.22222222222222221</c:v>
                </c:pt>
                <c:pt idx="6">
                  <c:v>0.66666666666666663</c:v>
                </c:pt>
                <c:pt idx="7">
                  <c:v>0</c:v>
                </c:pt>
                <c:pt idx="8">
                  <c:v>0</c:v>
                </c:pt>
                <c:pt idx="9">
                  <c:v>0</c:v>
                </c:pt>
                <c:pt idx="10">
                  <c:v>0</c:v>
                </c:pt>
                <c:pt idx="11">
                  <c:v>0</c:v>
                </c:pt>
                <c:pt idx="12">
                  <c:v>0.88888888888888884</c:v>
                </c:pt>
                <c:pt idx="13">
                  <c:v>0</c:v>
                </c:pt>
                <c:pt idx="14">
                  <c:v>0</c:v>
                </c:pt>
                <c:pt idx="15">
                  <c:v>0.33333333333333331</c:v>
                </c:pt>
                <c:pt idx="16">
                  <c:v>0.22222222222222221</c:v>
                </c:pt>
                <c:pt idx="17">
                  <c:v>0.33333333333333331</c:v>
                </c:pt>
                <c:pt idx="18">
                  <c:v>0.66666666666666663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3283400130511667"/>
          <c:y val="3.7674787594411639E-2"/>
          <c:w val="0.25892384018389747"/>
          <c:h val="0.9533905097716288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k-SK"/>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AD792-EF2B-4DDB-B04D-0249C1F8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3266</Words>
  <Characters>18622</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Konto Microsoft</cp:lastModifiedBy>
  <cp:revision>2</cp:revision>
  <dcterms:created xsi:type="dcterms:W3CDTF">2021-06-14T09:23:00Z</dcterms:created>
  <dcterms:modified xsi:type="dcterms:W3CDTF">2021-06-14T09:23:00Z</dcterms:modified>
</cp:coreProperties>
</file>